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项目公示信息（自然</w:t>
      </w:r>
      <w:r>
        <w:rPr>
          <w:rFonts w:ascii="仿宋_GB2312" w:hAnsi="仿宋_GB2312" w:eastAsia="仿宋_GB2312" w:cs="仿宋_GB2312"/>
          <w:b/>
          <w:sz w:val="32"/>
          <w:szCs w:val="32"/>
        </w:rPr>
        <w:t>科学奖）</w:t>
      </w:r>
    </w:p>
    <w:p>
      <w:pPr>
        <w:jc w:val="center"/>
        <w:rPr>
          <w:rFonts w:ascii="仿宋_GB2312" w:hAnsi="仿宋_GB2312" w:eastAsia="仿宋_GB2312" w:cs="仿宋_GB2312"/>
          <w:b/>
          <w:sz w:val="32"/>
          <w:szCs w:val="32"/>
        </w:rPr>
      </w:pPr>
    </w:p>
    <w:p>
      <w:pPr>
        <w:ind w:left="2240" w:hanging="2240" w:hangingChars="70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项目名称：固醇类激素受体和神经肽在社会行为及精神障碍中的作用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提名者:</w:t>
      </w:r>
      <w:r>
        <w:rPr>
          <w:rFonts w:hint="eastAsia"/>
        </w:rPr>
        <w:t xml:space="preserve"> </w:t>
      </w:r>
      <w:r>
        <w:rPr>
          <w:rFonts w:hint="eastAsia" w:ascii="仿宋_GB2312" w:hAnsi="仿宋_GB2312" w:eastAsia="仿宋_GB2312" w:cs="仿宋_GB2312"/>
          <w:sz w:val="32"/>
          <w:szCs w:val="32"/>
        </w:rPr>
        <w:t xml:space="preserve">陕西省教育厅 </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推荐二等奖</w:t>
      </w:r>
    </w:p>
    <w:p>
      <w:pPr>
        <w:rPr>
          <w:rFonts w:hint="eastAsia" w:ascii="仿宋_GB2312" w:eastAsia="仿宋_GB2312"/>
          <w:kern w:val="0"/>
          <w:sz w:val="32"/>
          <w:szCs w:val="32"/>
          <w:lang w:val="zh-CN"/>
        </w:rPr>
      </w:pPr>
      <w:r>
        <w:rPr>
          <w:rFonts w:hint="eastAsia" w:ascii="仿宋_GB2312" w:eastAsia="仿宋_GB2312"/>
          <w:kern w:val="0"/>
          <w:sz w:val="32"/>
          <w:szCs w:val="32"/>
        </w:rPr>
        <w:t>三</w:t>
      </w:r>
      <w:r>
        <w:rPr>
          <w:rFonts w:ascii="仿宋_GB2312" w:eastAsia="仿宋_GB2312"/>
          <w:kern w:val="0"/>
          <w:sz w:val="32"/>
          <w:szCs w:val="32"/>
        </w:rPr>
        <w:t>、</w:t>
      </w:r>
      <w:r>
        <w:rPr>
          <w:rFonts w:hint="eastAsia" w:ascii="仿宋_GB2312" w:eastAsia="仿宋_GB2312"/>
          <w:kern w:val="0"/>
          <w:sz w:val="32"/>
          <w:szCs w:val="32"/>
          <w:lang w:val="zh-CN"/>
        </w:rPr>
        <w:t>项目简介</w:t>
      </w:r>
    </w:p>
    <w:p>
      <w:pPr>
        <w:ind w:firstLine="640" w:firstLineChars="200"/>
        <w:rPr>
          <w:rFonts w:ascii="仿宋_GB2312" w:eastAsia="仿宋_GB2312"/>
          <w:kern w:val="0"/>
          <w:sz w:val="32"/>
          <w:szCs w:val="32"/>
          <w:lang w:val="zh-CN"/>
        </w:rPr>
      </w:pPr>
      <w:r>
        <w:rPr>
          <w:rFonts w:hint="eastAsia" w:ascii="仿宋_GB2312" w:eastAsia="仿宋_GB2312"/>
          <w:kern w:val="0"/>
          <w:sz w:val="32"/>
          <w:szCs w:val="32"/>
          <w:lang w:val="zh-CN"/>
        </w:rPr>
        <w:t>利用组织学、免疫组织化学、</w:t>
      </w:r>
      <w:r>
        <w:rPr>
          <w:rFonts w:ascii="仿宋_GB2312" w:eastAsia="仿宋_GB2312"/>
          <w:kern w:val="0"/>
          <w:sz w:val="32"/>
          <w:szCs w:val="32"/>
          <w:lang w:val="zh-CN"/>
        </w:rPr>
        <w:t>Elisa</w:t>
      </w:r>
      <w:r>
        <w:rPr>
          <w:rFonts w:hint="eastAsia" w:ascii="仿宋_GB2312" w:eastAsia="仿宋_GB2312"/>
          <w:kern w:val="0"/>
          <w:sz w:val="32"/>
          <w:szCs w:val="32"/>
          <w:lang w:val="zh-CN"/>
        </w:rPr>
        <w:t>、脑区微量注射、脑立体定位等技术研究固醇类激素及其受体，催产素和加压素与鼠类社会行为及情绪障碍之间的关系，为动物饲养、福利和繁殖，以及人类生殖和相关精神疾病的发生和预防提供了新理论和新思路。成果涉及分子生物学、动物行为、动物发育、生理、神经生物和生物信息学等学科的技术领域。</w:t>
      </w:r>
    </w:p>
    <w:p>
      <w:pPr>
        <w:ind w:firstLine="640" w:firstLineChars="200"/>
        <w:rPr>
          <w:rFonts w:ascii="仿宋_GB2312" w:eastAsia="仿宋_GB2312"/>
          <w:kern w:val="0"/>
          <w:sz w:val="32"/>
          <w:szCs w:val="32"/>
          <w:lang w:val="zh-CN"/>
        </w:rPr>
      </w:pPr>
      <w:r>
        <w:rPr>
          <w:rFonts w:hint="eastAsia" w:ascii="仿宋_GB2312" w:eastAsia="仿宋_GB2312"/>
          <w:kern w:val="0"/>
          <w:sz w:val="32"/>
          <w:szCs w:val="32"/>
          <w:lang w:val="zh-CN"/>
        </w:rPr>
        <w:t>研究发现雄激素引起脑结构的性差是雌雄个体社会行为发生差异的基础；在交配活动中，雌性气味刺激不仅与雄性特定脑区上</w:t>
      </w:r>
      <w:r>
        <w:rPr>
          <w:rFonts w:ascii="仿宋_GB2312" w:eastAsia="仿宋_GB2312"/>
          <w:kern w:val="0"/>
          <w:sz w:val="32"/>
          <w:szCs w:val="32"/>
          <w:lang w:val="zh-CN"/>
        </w:rPr>
        <w:t>Fos</w:t>
      </w:r>
      <w:r>
        <w:rPr>
          <w:rFonts w:hint="eastAsia" w:ascii="仿宋_GB2312" w:eastAsia="仿宋_GB2312"/>
          <w:kern w:val="0"/>
          <w:sz w:val="32"/>
          <w:szCs w:val="32"/>
          <w:lang w:val="zh-CN"/>
        </w:rPr>
        <w:t>、雄激素受体（</w:t>
      </w:r>
      <w:r>
        <w:rPr>
          <w:rFonts w:ascii="仿宋_GB2312" w:eastAsia="仿宋_GB2312"/>
          <w:kern w:val="0"/>
          <w:sz w:val="32"/>
          <w:szCs w:val="32"/>
          <w:lang w:val="zh-CN"/>
        </w:rPr>
        <w:t>AR</w:t>
      </w:r>
      <w:r>
        <w:rPr>
          <w:rFonts w:hint="eastAsia" w:ascii="仿宋_GB2312" w:eastAsia="仿宋_GB2312"/>
          <w:kern w:val="0"/>
          <w:sz w:val="32"/>
          <w:szCs w:val="32"/>
          <w:lang w:val="zh-CN"/>
        </w:rPr>
        <w:t>）和雄激素（</w:t>
      </w:r>
      <w:r>
        <w:rPr>
          <w:rFonts w:ascii="仿宋_GB2312" w:eastAsia="仿宋_GB2312"/>
          <w:kern w:val="0"/>
          <w:sz w:val="32"/>
          <w:szCs w:val="32"/>
          <w:lang w:val="zh-CN"/>
        </w:rPr>
        <w:t>T</w:t>
      </w:r>
      <w:r>
        <w:rPr>
          <w:rFonts w:hint="eastAsia" w:ascii="仿宋_GB2312" w:eastAsia="仿宋_GB2312"/>
          <w:kern w:val="0"/>
          <w:sz w:val="32"/>
          <w:szCs w:val="32"/>
          <w:lang w:val="zh-CN"/>
        </w:rPr>
        <w:t>）的表达相关，而且雌激素（</w:t>
      </w:r>
      <w:r>
        <w:rPr>
          <w:rFonts w:ascii="仿宋_GB2312" w:eastAsia="仿宋_GB2312"/>
          <w:kern w:val="0"/>
          <w:sz w:val="32"/>
          <w:szCs w:val="32"/>
          <w:lang w:val="zh-CN"/>
        </w:rPr>
        <w:t>E2</w:t>
      </w:r>
      <w:r>
        <w:rPr>
          <w:rFonts w:hint="eastAsia" w:ascii="仿宋_GB2312" w:eastAsia="仿宋_GB2312"/>
          <w:kern w:val="0"/>
          <w:sz w:val="32"/>
          <w:szCs w:val="32"/>
          <w:lang w:val="zh-CN"/>
        </w:rPr>
        <w:t>）对单配制鼠类的交配活动也起到重要作用，但雌激素受体β（</w:t>
      </w:r>
      <w:r>
        <w:rPr>
          <w:rFonts w:ascii="仿宋_GB2312" w:eastAsia="仿宋_GB2312"/>
          <w:kern w:val="0"/>
          <w:sz w:val="32"/>
          <w:szCs w:val="32"/>
          <w:lang w:val="zh-CN"/>
        </w:rPr>
        <w:t>ER</w:t>
      </w:r>
      <w:r>
        <w:rPr>
          <w:rFonts w:hint="eastAsia" w:ascii="仿宋_GB2312" w:eastAsia="仿宋_GB2312"/>
          <w:kern w:val="0"/>
          <w:sz w:val="32"/>
          <w:szCs w:val="32"/>
          <w:lang w:val="zh-CN"/>
        </w:rPr>
        <w:t>β）在雄性鼠的交配活动中并未起重要作用；社会识别主要由加压素（</w:t>
      </w:r>
      <w:r>
        <w:rPr>
          <w:rFonts w:ascii="仿宋_GB2312" w:eastAsia="仿宋_GB2312"/>
          <w:kern w:val="0"/>
          <w:sz w:val="32"/>
          <w:szCs w:val="32"/>
          <w:lang w:val="zh-CN"/>
        </w:rPr>
        <w:t>AVP</w:t>
      </w:r>
      <w:r>
        <w:rPr>
          <w:rFonts w:hint="eastAsia" w:ascii="仿宋_GB2312" w:eastAsia="仿宋_GB2312"/>
          <w:kern w:val="0"/>
          <w:sz w:val="32"/>
          <w:szCs w:val="32"/>
          <w:lang w:val="zh-CN"/>
        </w:rPr>
        <w:t>）依赖雄激素而产生；</w:t>
      </w:r>
      <w:r>
        <w:rPr>
          <w:rFonts w:ascii="仿宋_GB2312" w:eastAsia="仿宋_GB2312"/>
          <w:kern w:val="0"/>
          <w:sz w:val="32"/>
          <w:szCs w:val="32"/>
          <w:lang w:val="zh-CN"/>
        </w:rPr>
        <w:t>AVP</w:t>
      </w:r>
      <w:r>
        <w:rPr>
          <w:rFonts w:hint="eastAsia" w:ascii="仿宋_GB2312" w:eastAsia="仿宋_GB2312"/>
          <w:kern w:val="0"/>
          <w:sz w:val="32"/>
          <w:szCs w:val="32"/>
          <w:lang w:val="zh-CN"/>
        </w:rPr>
        <w:t>和催产素（</w:t>
      </w:r>
      <w:r>
        <w:rPr>
          <w:rFonts w:ascii="仿宋_GB2312" w:eastAsia="仿宋_GB2312"/>
          <w:kern w:val="0"/>
          <w:sz w:val="32"/>
          <w:szCs w:val="32"/>
          <w:lang w:val="zh-CN"/>
        </w:rPr>
        <w:t>OT</w:t>
      </w:r>
      <w:r>
        <w:rPr>
          <w:rFonts w:hint="eastAsia" w:ascii="仿宋_GB2312" w:eastAsia="仿宋_GB2312"/>
          <w:kern w:val="0"/>
          <w:sz w:val="32"/>
          <w:szCs w:val="32"/>
          <w:lang w:val="zh-CN"/>
        </w:rPr>
        <w:t>）是密切相关的两种神经肽，来自于神经垂体分泌的</w:t>
      </w:r>
      <w:r>
        <w:rPr>
          <w:rFonts w:ascii="仿宋_GB2312" w:eastAsia="仿宋_GB2312"/>
          <w:kern w:val="0"/>
          <w:sz w:val="32"/>
          <w:szCs w:val="32"/>
          <w:lang w:val="zh-CN"/>
        </w:rPr>
        <w:t>AVP</w:t>
      </w:r>
      <w:r>
        <w:rPr>
          <w:rFonts w:hint="eastAsia" w:ascii="仿宋_GB2312" w:eastAsia="仿宋_GB2312"/>
          <w:kern w:val="0"/>
          <w:sz w:val="32"/>
          <w:szCs w:val="32"/>
          <w:lang w:val="zh-CN"/>
        </w:rPr>
        <w:t>和</w:t>
      </w:r>
      <w:r>
        <w:rPr>
          <w:rFonts w:ascii="仿宋_GB2312" w:eastAsia="仿宋_GB2312"/>
          <w:kern w:val="0"/>
          <w:sz w:val="32"/>
          <w:szCs w:val="32"/>
          <w:lang w:val="zh-CN"/>
        </w:rPr>
        <w:t>OT</w:t>
      </w:r>
      <w:r>
        <w:rPr>
          <w:rFonts w:hint="eastAsia" w:ascii="仿宋_GB2312" w:eastAsia="仿宋_GB2312"/>
          <w:kern w:val="0"/>
          <w:sz w:val="32"/>
          <w:szCs w:val="32"/>
          <w:lang w:val="zh-CN"/>
        </w:rPr>
        <w:t>直接释放到循环系统，调节靶细胞的活动；来自于中枢轴突末梢释放</w:t>
      </w:r>
      <w:r>
        <w:rPr>
          <w:rFonts w:ascii="仿宋_GB2312" w:eastAsia="仿宋_GB2312"/>
          <w:kern w:val="0"/>
          <w:sz w:val="32"/>
          <w:szCs w:val="32"/>
          <w:lang w:val="zh-CN"/>
        </w:rPr>
        <w:t>AVP</w:t>
      </w:r>
      <w:r>
        <w:rPr>
          <w:rFonts w:hint="eastAsia" w:ascii="仿宋_GB2312" w:eastAsia="仿宋_GB2312"/>
          <w:kern w:val="0"/>
          <w:sz w:val="32"/>
          <w:szCs w:val="32"/>
          <w:lang w:val="zh-CN"/>
        </w:rPr>
        <w:t>和</w:t>
      </w:r>
      <w:r>
        <w:rPr>
          <w:rFonts w:ascii="仿宋_GB2312" w:eastAsia="仿宋_GB2312"/>
          <w:kern w:val="0"/>
          <w:sz w:val="32"/>
          <w:szCs w:val="32"/>
          <w:lang w:val="zh-CN"/>
        </w:rPr>
        <w:t>OT</w:t>
      </w:r>
      <w:r>
        <w:rPr>
          <w:rFonts w:hint="eastAsia" w:ascii="仿宋_GB2312" w:eastAsia="仿宋_GB2312"/>
          <w:kern w:val="0"/>
          <w:sz w:val="32"/>
          <w:szCs w:val="32"/>
          <w:lang w:val="zh-CN"/>
        </w:rPr>
        <w:t>遍布整个中枢神经系统，作为神经递质调节神经细胞的活动，在特定脑区与记忆及精神上的疾病有关。产前饮用酒精，可导致血清</w:t>
      </w:r>
      <w:r>
        <w:rPr>
          <w:rFonts w:ascii="仿宋_GB2312" w:eastAsia="仿宋_GB2312"/>
          <w:kern w:val="0"/>
          <w:sz w:val="32"/>
          <w:szCs w:val="32"/>
          <w:lang w:val="zh-CN"/>
        </w:rPr>
        <w:t>T</w:t>
      </w:r>
      <w:r>
        <w:rPr>
          <w:rFonts w:hint="eastAsia" w:ascii="仿宋_GB2312" w:eastAsia="仿宋_GB2312"/>
          <w:kern w:val="0"/>
          <w:sz w:val="32"/>
          <w:szCs w:val="32"/>
          <w:lang w:val="zh-CN"/>
        </w:rPr>
        <w:t>水平的降低，</w:t>
      </w:r>
      <w:r>
        <w:rPr>
          <w:rFonts w:ascii="仿宋_GB2312" w:eastAsia="仿宋_GB2312"/>
          <w:kern w:val="0"/>
          <w:sz w:val="32"/>
          <w:szCs w:val="32"/>
          <w:lang w:val="zh-CN"/>
        </w:rPr>
        <w:t>AR</w:t>
      </w:r>
      <w:r>
        <w:rPr>
          <w:rFonts w:hint="eastAsia" w:ascii="仿宋_GB2312" w:eastAsia="仿宋_GB2312"/>
          <w:kern w:val="0"/>
          <w:sz w:val="32"/>
          <w:szCs w:val="32"/>
          <w:lang w:val="zh-CN"/>
        </w:rPr>
        <w:t>的减少，增加中枢神经系统中</w:t>
      </w:r>
      <w:r>
        <w:rPr>
          <w:rFonts w:ascii="仿宋_GB2312" w:eastAsia="仿宋_GB2312"/>
          <w:kern w:val="0"/>
          <w:sz w:val="32"/>
          <w:szCs w:val="32"/>
          <w:lang w:val="zh-CN"/>
        </w:rPr>
        <w:t>AVP</w:t>
      </w:r>
      <w:r>
        <w:rPr>
          <w:rFonts w:hint="eastAsia" w:ascii="仿宋_GB2312" w:eastAsia="仿宋_GB2312"/>
          <w:kern w:val="0"/>
          <w:sz w:val="32"/>
          <w:szCs w:val="32"/>
          <w:lang w:val="zh-CN"/>
        </w:rPr>
        <w:t>的含量可导致产生焦虑行为。成年时期的焦虑变化可以受早期环境各种因素相互作用的控制，血清</w:t>
      </w:r>
      <w:r>
        <w:rPr>
          <w:rFonts w:ascii="仿宋_GB2312" w:eastAsia="仿宋_GB2312"/>
          <w:kern w:val="0"/>
          <w:sz w:val="32"/>
          <w:szCs w:val="32"/>
          <w:lang w:val="zh-CN"/>
        </w:rPr>
        <w:t>E2</w:t>
      </w:r>
      <w:r>
        <w:rPr>
          <w:rFonts w:hint="eastAsia" w:ascii="仿宋_GB2312" w:eastAsia="仿宋_GB2312"/>
          <w:kern w:val="0"/>
          <w:sz w:val="32"/>
          <w:szCs w:val="32"/>
          <w:lang w:val="zh-CN"/>
        </w:rPr>
        <w:t>水平的变化及</w:t>
      </w:r>
      <w:r>
        <w:rPr>
          <w:rFonts w:ascii="仿宋_GB2312" w:eastAsia="仿宋_GB2312"/>
          <w:kern w:val="0"/>
          <w:sz w:val="32"/>
          <w:szCs w:val="32"/>
          <w:lang w:val="zh-CN"/>
        </w:rPr>
        <w:t>ER</w:t>
      </w:r>
      <w:r>
        <w:rPr>
          <w:rFonts w:hint="eastAsia" w:ascii="仿宋_GB2312" w:eastAsia="仿宋_GB2312"/>
          <w:kern w:val="0"/>
          <w:sz w:val="32"/>
          <w:szCs w:val="32"/>
          <w:lang w:val="zh-CN"/>
        </w:rPr>
        <w:t>β、雌激素受体α（</w:t>
      </w:r>
      <w:r>
        <w:rPr>
          <w:rFonts w:ascii="仿宋_GB2312" w:eastAsia="仿宋_GB2312"/>
          <w:kern w:val="0"/>
          <w:sz w:val="32"/>
          <w:szCs w:val="32"/>
          <w:lang w:val="zh-CN"/>
        </w:rPr>
        <w:t>ER</w:t>
      </w:r>
      <w:r>
        <w:rPr>
          <w:rFonts w:hint="eastAsia" w:ascii="仿宋_GB2312" w:eastAsia="仿宋_GB2312"/>
          <w:kern w:val="0"/>
          <w:sz w:val="32"/>
          <w:szCs w:val="32"/>
          <w:lang w:val="zh-CN"/>
        </w:rPr>
        <w:t>α）和</w:t>
      </w:r>
      <w:r>
        <w:rPr>
          <w:rFonts w:ascii="仿宋_GB2312" w:eastAsia="仿宋_GB2312"/>
          <w:kern w:val="0"/>
          <w:sz w:val="32"/>
          <w:szCs w:val="32"/>
          <w:lang w:val="zh-CN"/>
        </w:rPr>
        <w:t>OT</w:t>
      </w:r>
      <w:r>
        <w:rPr>
          <w:rFonts w:hint="eastAsia" w:ascii="仿宋_GB2312" w:eastAsia="仿宋_GB2312"/>
          <w:kern w:val="0"/>
          <w:sz w:val="32"/>
          <w:szCs w:val="32"/>
          <w:lang w:val="zh-CN"/>
        </w:rPr>
        <w:t>的比例的增加可导致成年雌性后代焦虑行为的减少。</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、客观评价</w:t>
      </w:r>
    </w:p>
    <w:p>
      <w:pPr>
        <w:rPr>
          <w:rFonts w:ascii="仿宋_GB2312" w:eastAsia="仿宋_GB2312"/>
          <w:kern w:val="0"/>
          <w:sz w:val="32"/>
          <w:szCs w:val="32"/>
          <w:lang w:val="zh-CN"/>
        </w:rPr>
      </w:pPr>
      <w:r>
        <w:rPr>
          <w:rFonts w:hint="eastAsia" w:ascii="仿宋_GB2312" w:hAnsi="仿宋_GB2312" w:eastAsia="仿宋_GB2312" w:cs="仿宋_GB2312"/>
          <w:sz w:val="32"/>
          <w:szCs w:val="32"/>
        </w:rPr>
        <w:t xml:space="preserve">    </w:t>
      </w:r>
      <w:r>
        <w:rPr>
          <w:rFonts w:hint="eastAsia" w:ascii="仿宋_GB2312" w:eastAsia="仿宋_GB2312"/>
          <w:kern w:val="0"/>
          <w:sz w:val="32"/>
          <w:szCs w:val="32"/>
          <w:lang w:val="zh-CN"/>
        </w:rPr>
        <w:t>本成果建造了具有各种行为的模型动物，从激素、受体、神经递质等多个角度探讨模型动物行为产生的机理，为动物繁殖饲养，人类生殖和相关精神疾病的发生和预防提供了新理论和新思路。发表论文共29篇，其中</w:t>
      </w:r>
      <w:r>
        <w:rPr>
          <w:rFonts w:ascii="仿宋_GB2312" w:eastAsia="仿宋_GB2312"/>
          <w:kern w:val="0"/>
          <w:sz w:val="32"/>
          <w:szCs w:val="32"/>
          <w:lang w:val="zh-CN"/>
        </w:rPr>
        <w:t xml:space="preserve">SCI </w:t>
      </w:r>
      <w:r>
        <w:rPr>
          <w:rFonts w:hint="eastAsia" w:ascii="仿宋_GB2312" w:eastAsia="仿宋_GB2312"/>
          <w:kern w:val="0"/>
          <w:sz w:val="32"/>
          <w:szCs w:val="32"/>
          <w:lang w:val="zh-CN"/>
        </w:rPr>
        <w:t>9篇，在本领域影响较高的</w:t>
      </w:r>
      <w:r>
        <w:rPr>
          <w:rFonts w:ascii="仿宋_GB2312" w:eastAsia="仿宋_GB2312"/>
          <w:kern w:val="0"/>
          <w:sz w:val="32"/>
          <w:szCs w:val="32"/>
          <w:lang w:val="zh-CN"/>
        </w:rPr>
        <w:t>Neuroscience (IF=3.357)</w:t>
      </w:r>
      <w:r>
        <w:rPr>
          <w:rFonts w:hint="eastAsia" w:ascii="仿宋_GB2312" w:eastAsia="仿宋_GB2312"/>
          <w:kern w:val="0"/>
          <w:sz w:val="32"/>
          <w:szCs w:val="32"/>
          <w:lang w:val="zh-CN"/>
        </w:rPr>
        <w:t>，</w:t>
      </w:r>
      <w:r>
        <w:rPr>
          <w:rFonts w:ascii="仿宋_GB2312" w:eastAsia="仿宋_GB2312"/>
          <w:kern w:val="0"/>
          <w:sz w:val="32"/>
          <w:szCs w:val="32"/>
          <w:lang w:val="zh-CN"/>
        </w:rPr>
        <w:t>Behavioural Brain Research(IF=3.327)</w:t>
      </w:r>
      <w:r>
        <w:rPr>
          <w:rFonts w:hint="eastAsia" w:ascii="仿宋_GB2312" w:eastAsia="仿宋_GB2312"/>
          <w:kern w:val="0"/>
          <w:sz w:val="32"/>
          <w:szCs w:val="32"/>
          <w:lang w:val="zh-CN"/>
        </w:rPr>
        <w:t>，</w:t>
      </w:r>
      <w:r>
        <w:rPr>
          <w:rFonts w:ascii="仿宋_GB2312" w:eastAsia="仿宋_GB2312"/>
          <w:kern w:val="0"/>
          <w:sz w:val="32"/>
          <w:szCs w:val="32"/>
          <w:lang w:val="zh-CN"/>
        </w:rPr>
        <w:t>Behavioral Neuroscience</w:t>
      </w:r>
      <w:r>
        <w:rPr>
          <w:rFonts w:hint="eastAsia" w:ascii="仿宋_GB2312" w:eastAsia="仿宋_GB2312"/>
          <w:kern w:val="0"/>
          <w:sz w:val="32"/>
          <w:szCs w:val="32"/>
          <w:lang w:val="zh-CN"/>
        </w:rPr>
        <w:t xml:space="preserve"> </w:t>
      </w:r>
      <w:r>
        <w:rPr>
          <w:rFonts w:ascii="仿宋_GB2312" w:eastAsia="仿宋_GB2312"/>
          <w:kern w:val="0"/>
          <w:sz w:val="32"/>
          <w:szCs w:val="32"/>
          <w:lang w:val="zh-CN"/>
        </w:rPr>
        <w:t>(IF=3.357)</w:t>
      </w:r>
      <w:r>
        <w:rPr>
          <w:rFonts w:hint="eastAsia" w:ascii="仿宋_GB2312" w:eastAsia="仿宋_GB2312"/>
          <w:kern w:val="0"/>
          <w:sz w:val="32"/>
          <w:szCs w:val="32"/>
          <w:lang w:val="zh-CN"/>
        </w:rPr>
        <w:t>，Basic and clinical pharmacology and toxicology (IF=3.176)发表5篇，9篇共计影响因子25。发表结果不但被多个教材和网站引用和收集，并被国际</w:t>
      </w:r>
      <w:r>
        <w:rPr>
          <w:rFonts w:ascii="仿宋_GB2312" w:eastAsia="仿宋_GB2312"/>
          <w:kern w:val="0"/>
          <w:sz w:val="32"/>
          <w:szCs w:val="32"/>
          <w:lang w:val="zh-CN"/>
        </w:rPr>
        <w:t>Top</w:t>
      </w:r>
      <w:r>
        <w:rPr>
          <w:rFonts w:hint="eastAsia" w:ascii="仿宋_GB2312" w:eastAsia="仿宋_GB2312"/>
          <w:kern w:val="0"/>
          <w:sz w:val="32"/>
          <w:szCs w:val="32"/>
          <w:lang w:val="zh-CN"/>
        </w:rPr>
        <w:t>期刊</w:t>
      </w:r>
      <w:r>
        <w:rPr>
          <w:rFonts w:ascii="仿宋_GB2312" w:eastAsia="仿宋_GB2312"/>
          <w:kern w:val="0"/>
          <w:sz w:val="32"/>
          <w:szCs w:val="32"/>
          <w:lang w:val="zh-CN"/>
        </w:rPr>
        <w:t>Molecular Psychiatry</w:t>
      </w:r>
      <w:r>
        <w:rPr>
          <w:rFonts w:hint="eastAsia" w:ascii="仿宋_GB2312" w:eastAsia="仿宋_GB2312"/>
          <w:kern w:val="0"/>
          <w:sz w:val="32"/>
          <w:szCs w:val="32"/>
          <w:lang w:val="zh-CN"/>
        </w:rPr>
        <w:t>（</w:t>
      </w:r>
      <w:r>
        <w:rPr>
          <w:rFonts w:ascii="仿宋_GB2312" w:eastAsia="仿宋_GB2312"/>
          <w:kern w:val="0"/>
          <w:sz w:val="32"/>
          <w:szCs w:val="32"/>
          <w:lang w:val="zh-CN"/>
        </w:rPr>
        <w:t>IF=13.314</w:t>
      </w:r>
      <w:r>
        <w:rPr>
          <w:rFonts w:hint="eastAsia" w:ascii="仿宋_GB2312" w:eastAsia="仿宋_GB2312"/>
          <w:kern w:val="0"/>
          <w:sz w:val="32"/>
          <w:szCs w:val="32"/>
          <w:lang w:val="zh-CN"/>
        </w:rPr>
        <w:t>）和</w:t>
      </w:r>
      <w:r>
        <w:rPr>
          <w:rFonts w:ascii="仿宋_GB2312" w:eastAsia="仿宋_GB2312"/>
          <w:kern w:val="0"/>
          <w:sz w:val="32"/>
          <w:szCs w:val="32"/>
          <w:lang w:val="zh-CN"/>
        </w:rPr>
        <w:t>Neuroscience and Biobehavioral Reviews</w:t>
      </w:r>
      <w:r>
        <w:rPr>
          <w:rFonts w:hint="eastAsia" w:ascii="仿宋_GB2312" w:eastAsia="仿宋_GB2312"/>
          <w:kern w:val="0"/>
          <w:sz w:val="32"/>
          <w:szCs w:val="32"/>
          <w:lang w:val="zh-CN"/>
        </w:rPr>
        <w:t>（</w:t>
      </w:r>
      <w:r>
        <w:rPr>
          <w:rFonts w:ascii="仿宋_GB2312" w:eastAsia="仿宋_GB2312"/>
          <w:kern w:val="0"/>
          <w:sz w:val="32"/>
          <w:szCs w:val="32"/>
          <w:lang w:val="zh-CN"/>
        </w:rPr>
        <w:t>IF=8.58</w:t>
      </w:r>
      <w:r>
        <w:rPr>
          <w:rFonts w:hint="eastAsia" w:ascii="仿宋_GB2312" w:eastAsia="仿宋_GB2312"/>
          <w:kern w:val="0"/>
          <w:sz w:val="32"/>
          <w:szCs w:val="32"/>
          <w:lang w:val="zh-CN"/>
        </w:rPr>
        <w:t>），国际著名期刊</w:t>
      </w:r>
      <w:r>
        <w:rPr>
          <w:rFonts w:ascii="仿宋_GB2312" w:eastAsia="仿宋_GB2312"/>
          <w:kern w:val="0"/>
          <w:sz w:val="32"/>
          <w:szCs w:val="32"/>
          <w:lang w:val="zh-CN"/>
        </w:rPr>
        <w:t>Psychoneuroendocrinology</w:t>
      </w:r>
      <w:r>
        <w:rPr>
          <w:rFonts w:hint="eastAsia" w:ascii="仿宋_GB2312" w:eastAsia="仿宋_GB2312"/>
          <w:kern w:val="0"/>
          <w:sz w:val="32"/>
          <w:szCs w:val="32"/>
          <w:lang w:val="zh-CN"/>
        </w:rPr>
        <w:t>（</w:t>
      </w:r>
      <w:r>
        <w:rPr>
          <w:rFonts w:ascii="仿宋_GB2312" w:eastAsia="仿宋_GB2312"/>
          <w:kern w:val="0"/>
          <w:sz w:val="32"/>
          <w:szCs w:val="32"/>
          <w:lang w:val="zh-CN"/>
        </w:rPr>
        <w:t>IF=4.704</w:t>
      </w:r>
      <w:r>
        <w:rPr>
          <w:rFonts w:hint="eastAsia" w:ascii="仿宋_GB2312" w:eastAsia="仿宋_GB2312"/>
          <w:kern w:val="0"/>
          <w:sz w:val="32"/>
          <w:szCs w:val="32"/>
          <w:lang w:val="zh-CN"/>
        </w:rPr>
        <w:t>），</w:t>
      </w:r>
      <w:r>
        <w:rPr>
          <w:rFonts w:ascii="仿宋_GB2312" w:eastAsia="仿宋_GB2312"/>
          <w:kern w:val="0"/>
          <w:sz w:val="32"/>
          <w:szCs w:val="32"/>
          <w:lang w:val="zh-CN"/>
        </w:rPr>
        <w:t>Behavioural Brain Research (</w:t>
      </w:r>
      <w:r>
        <w:rPr>
          <w:rFonts w:hint="eastAsia" w:ascii="仿宋_GB2312" w:eastAsia="仿宋_GB2312"/>
          <w:kern w:val="0"/>
          <w:sz w:val="32"/>
          <w:szCs w:val="32"/>
          <w:lang w:val="zh-CN"/>
        </w:rPr>
        <w:t>在动物学里</w:t>
      </w:r>
      <w:r>
        <w:rPr>
          <w:rFonts w:ascii="仿宋_GB2312" w:eastAsia="仿宋_GB2312"/>
          <w:kern w:val="0"/>
          <w:sz w:val="32"/>
          <w:szCs w:val="32"/>
          <w:lang w:val="zh-CN"/>
        </w:rPr>
        <w:t xml:space="preserve"> TOP1</w:t>
      </w:r>
      <w:r>
        <w:rPr>
          <w:rFonts w:hint="eastAsia" w:ascii="仿宋_GB2312" w:eastAsia="仿宋_GB2312"/>
          <w:kern w:val="0"/>
          <w:sz w:val="32"/>
          <w:szCs w:val="32"/>
          <w:lang w:val="zh-CN"/>
        </w:rPr>
        <w:t>杂志</w:t>
      </w:r>
      <w:r>
        <w:rPr>
          <w:rFonts w:ascii="仿宋_GB2312" w:eastAsia="仿宋_GB2312"/>
          <w:kern w:val="0"/>
          <w:sz w:val="32"/>
          <w:szCs w:val="32"/>
          <w:lang w:val="zh-CN"/>
        </w:rPr>
        <w:t>)</w:t>
      </w:r>
      <w:r>
        <w:rPr>
          <w:rFonts w:hint="eastAsia" w:ascii="仿宋_GB2312" w:eastAsia="仿宋_GB2312"/>
          <w:kern w:val="0"/>
          <w:sz w:val="32"/>
          <w:szCs w:val="32"/>
          <w:lang w:val="zh-CN"/>
        </w:rPr>
        <w:t>，</w:t>
      </w:r>
      <w:r>
        <w:rPr>
          <w:rFonts w:ascii="仿宋_GB2312" w:eastAsia="仿宋_GB2312"/>
          <w:kern w:val="0"/>
          <w:sz w:val="32"/>
          <w:szCs w:val="32"/>
          <w:lang w:val="zh-CN"/>
        </w:rPr>
        <w:t>Frontiers in Zoology</w:t>
      </w:r>
      <w:r>
        <w:rPr>
          <w:rFonts w:hint="eastAsia" w:ascii="仿宋_GB2312" w:eastAsia="仿宋_GB2312"/>
          <w:kern w:val="0"/>
          <w:sz w:val="32"/>
          <w:szCs w:val="32"/>
          <w:lang w:val="zh-CN"/>
        </w:rPr>
        <w:t>，</w:t>
      </w:r>
      <w:r>
        <w:rPr>
          <w:rFonts w:ascii="仿宋_GB2312" w:eastAsia="仿宋_GB2312"/>
          <w:kern w:val="0"/>
          <w:sz w:val="32"/>
          <w:szCs w:val="32"/>
          <w:lang w:val="zh-CN"/>
        </w:rPr>
        <w:t>Neuroscience Letters</w:t>
      </w:r>
      <w:r>
        <w:rPr>
          <w:rFonts w:hint="eastAsia" w:ascii="仿宋_GB2312" w:eastAsia="仿宋_GB2312"/>
          <w:kern w:val="0"/>
          <w:sz w:val="32"/>
          <w:szCs w:val="32"/>
          <w:lang w:val="zh-CN"/>
        </w:rPr>
        <w:t>引用，9篇他引16次，并受邀参加第四届全球神经药理学专家会议（美国圣安东尼奥）、第五届儿科护理与保健国际会议</w:t>
      </w:r>
      <w:r>
        <w:rPr>
          <w:rFonts w:ascii="仿宋_GB2312" w:eastAsia="仿宋_GB2312"/>
          <w:kern w:val="0"/>
          <w:sz w:val="32"/>
          <w:szCs w:val="32"/>
          <w:lang w:val="zh-CN"/>
        </w:rPr>
        <w:t>(</w:t>
      </w:r>
      <w:r>
        <w:rPr>
          <w:rFonts w:hint="eastAsia" w:ascii="仿宋_GB2312" w:eastAsia="仿宋_GB2312"/>
          <w:kern w:val="0"/>
          <w:sz w:val="32"/>
          <w:szCs w:val="32"/>
          <w:lang w:val="zh-CN"/>
        </w:rPr>
        <w:t>德国科隆</w:t>
      </w:r>
      <w:r>
        <w:rPr>
          <w:rFonts w:ascii="仿宋_GB2312" w:eastAsia="仿宋_GB2312"/>
          <w:kern w:val="0"/>
          <w:sz w:val="32"/>
          <w:szCs w:val="32"/>
          <w:lang w:val="zh-CN"/>
        </w:rPr>
        <w:t>)</w:t>
      </w:r>
      <w:r>
        <w:rPr>
          <w:rFonts w:hint="eastAsia" w:ascii="仿宋_GB2312" w:eastAsia="仿宋_GB2312"/>
          <w:kern w:val="0"/>
          <w:sz w:val="32"/>
          <w:szCs w:val="32"/>
          <w:lang w:val="zh-CN"/>
        </w:rPr>
        <w:t>、“脑和行为神经科学大会国际会议”，均做大会报告。在国内权威、核心期刊发表论文20篇，被国内核心和重要刊物引用72次。</w:t>
      </w:r>
    </w:p>
    <w:p>
      <w:pPr>
        <w:rPr>
          <w:rFonts w:ascii="仿宋_GB2312" w:hAnsi="仿宋_GB2312" w:eastAsia="仿宋_GB2312" w:cs="仿宋_GB2312"/>
          <w:sz w:val="32"/>
          <w:szCs w:val="32"/>
        </w:rPr>
        <w:sectPr>
          <w:pgSz w:w="11906" w:h="16838"/>
          <w:pgMar w:top="1440" w:right="1800" w:bottom="1440" w:left="1800" w:header="851" w:footer="992" w:gutter="0"/>
          <w:cols w:space="425" w:num="1"/>
          <w:docGrid w:type="lines" w:linePitch="312" w:charSpace="0"/>
        </w:sectPr>
      </w:pPr>
    </w:p>
    <w:p>
      <w:pPr>
        <w:pStyle w:val="3"/>
        <w:ind w:firstLine="0" w:firstLineChars="0"/>
        <w:jc w:val="center"/>
        <w:outlineLvl w:val="1"/>
        <w:rPr>
          <w:rFonts w:hint="eastAsia" w:ascii="宋体" w:hAnsi="宋体" w:cs="Courier"/>
          <w:kern w:val="0"/>
          <w:sz w:val="28"/>
          <w:szCs w:val="28"/>
        </w:rPr>
      </w:pPr>
      <w:r>
        <w:rPr>
          <w:rFonts w:hint="eastAsia" w:ascii="宋体" w:hAnsi="宋体" w:cs="Courier"/>
          <w:kern w:val="0"/>
          <w:sz w:val="28"/>
          <w:szCs w:val="28"/>
        </w:rPr>
        <w:t>五</w:t>
      </w:r>
      <w:r>
        <w:rPr>
          <w:rFonts w:ascii="宋体" w:hAnsi="宋体" w:cs="Courier"/>
          <w:kern w:val="0"/>
          <w:sz w:val="28"/>
          <w:szCs w:val="28"/>
        </w:rPr>
        <w:t>、</w:t>
      </w:r>
      <w:r>
        <w:rPr>
          <w:rFonts w:hint="eastAsia" w:ascii="宋体" w:hAnsi="宋体" w:cs="Courier"/>
          <w:kern w:val="0"/>
          <w:sz w:val="28"/>
          <w:szCs w:val="28"/>
        </w:rPr>
        <w:t>代表性</w:t>
      </w:r>
      <w:r>
        <w:rPr>
          <w:rFonts w:ascii="宋体" w:hAnsi="宋体" w:cs="Courier"/>
          <w:kern w:val="0"/>
          <w:sz w:val="28"/>
          <w:szCs w:val="28"/>
        </w:rPr>
        <w:t>论文</w:t>
      </w:r>
      <w:r>
        <w:rPr>
          <w:rFonts w:hint="eastAsia" w:ascii="宋体" w:hAnsi="宋体" w:cs="Courier"/>
          <w:kern w:val="0"/>
          <w:sz w:val="28"/>
          <w:szCs w:val="28"/>
        </w:rPr>
        <w:t>专</w:t>
      </w:r>
      <w:r>
        <w:rPr>
          <w:rFonts w:ascii="宋体" w:hAnsi="宋体" w:cs="Courier"/>
          <w:kern w:val="0"/>
          <w:sz w:val="28"/>
          <w:szCs w:val="28"/>
        </w:rPr>
        <w:t>著目录</w:t>
      </w:r>
      <w:r>
        <w:rPr>
          <w:rFonts w:hint="eastAsia" w:ascii="宋体" w:hAnsi="宋体" w:cs="Courier"/>
          <w:kern w:val="0"/>
          <w:sz w:val="28"/>
          <w:szCs w:val="28"/>
        </w:rPr>
        <w:t>（</w:t>
      </w:r>
      <w:r>
        <w:rPr>
          <w:rFonts w:ascii="宋体" w:hAnsi="宋体" w:cs="Courier"/>
          <w:kern w:val="0"/>
          <w:sz w:val="28"/>
          <w:szCs w:val="28"/>
        </w:rPr>
        <w:t>限8</w:t>
      </w:r>
      <w:r>
        <w:rPr>
          <w:rFonts w:hint="eastAsia" w:ascii="宋体" w:hAnsi="宋体" w:cs="Courier"/>
          <w:kern w:val="0"/>
          <w:sz w:val="28"/>
          <w:szCs w:val="28"/>
        </w:rPr>
        <w:t>条）</w:t>
      </w:r>
    </w:p>
    <w:tbl>
      <w:tblPr>
        <w:tblStyle w:val="8"/>
        <w:tblpPr w:leftFromText="180" w:rightFromText="180" w:vertAnchor="text" w:horzAnchor="margin" w:tblpXSpec="center" w:tblpY="270"/>
        <w:tblW w:w="12791"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8"/>
        <w:gridCol w:w="2515"/>
        <w:gridCol w:w="1701"/>
        <w:gridCol w:w="1134"/>
        <w:gridCol w:w="709"/>
        <w:gridCol w:w="1984"/>
        <w:gridCol w:w="993"/>
        <w:gridCol w:w="726"/>
        <w:gridCol w:w="868"/>
        <w:gridCol w:w="447"/>
        <w:gridCol w:w="643"/>
        <w:gridCol w:w="6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4" w:hRule="atLeast"/>
          <w:jc w:val="center"/>
        </w:trPr>
        <w:tc>
          <w:tcPr>
            <w:tcW w:w="428" w:type="dxa"/>
            <w:vAlign w:val="center"/>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序号</w:t>
            </w:r>
          </w:p>
        </w:tc>
        <w:tc>
          <w:tcPr>
            <w:tcW w:w="2515" w:type="dxa"/>
            <w:vAlign w:val="center"/>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论文专著名称</w:t>
            </w:r>
            <w:r>
              <w:rPr>
                <w:rFonts w:ascii="宋体" w:hAnsi="宋体"/>
                <w:sz w:val="21"/>
                <w:szCs w:val="21"/>
              </w:rPr>
              <w:t xml:space="preserve"> </w:t>
            </w:r>
          </w:p>
        </w:tc>
        <w:tc>
          <w:tcPr>
            <w:tcW w:w="1701" w:type="dxa"/>
            <w:vAlign w:val="center"/>
          </w:tcPr>
          <w:p>
            <w:pPr>
              <w:pStyle w:val="3"/>
              <w:adjustRightInd w:val="0"/>
              <w:spacing w:after="50" w:line="240" w:lineRule="auto"/>
              <w:ind w:firstLine="0" w:firstLineChars="0"/>
              <w:outlineLvl w:val="1"/>
              <w:rPr>
                <w:rFonts w:ascii="宋体"/>
                <w:sz w:val="21"/>
                <w:szCs w:val="21"/>
              </w:rPr>
            </w:pPr>
            <w:r>
              <w:rPr>
                <w:rFonts w:hint="eastAsia" w:ascii="宋体" w:hAnsi="宋体"/>
                <w:sz w:val="21"/>
                <w:szCs w:val="21"/>
              </w:rPr>
              <w:t>刊名</w:t>
            </w:r>
          </w:p>
        </w:tc>
        <w:tc>
          <w:tcPr>
            <w:tcW w:w="1134" w:type="dxa"/>
            <w:vAlign w:val="center"/>
          </w:tcPr>
          <w:p>
            <w:pPr>
              <w:pStyle w:val="3"/>
              <w:adjustRightInd w:val="0"/>
              <w:spacing w:after="50" w:line="240" w:lineRule="auto"/>
              <w:ind w:firstLine="0" w:firstLineChars="0"/>
              <w:outlineLvl w:val="1"/>
              <w:rPr>
                <w:rFonts w:ascii="宋体"/>
                <w:sz w:val="21"/>
                <w:szCs w:val="21"/>
              </w:rPr>
            </w:pPr>
            <w:r>
              <w:rPr>
                <w:rFonts w:hint="eastAsia" w:ascii="宋体" w:hAnsi="宋体"/>
                <w:sz w:val="21"/>
                <w:szCs w:val="21"/>
              </w:rPr>
              <w:t>作者</w:t>
            </w:r>
          </w:p>
        </w:tc>
        <w:tc>
          <w:tcPr>
            <w:tcW w:w="709"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第一</w:t>
            </w:r>
            <w:r>
              <w:rPr>
                <w:rFonts w:ascii="宋体" w:hAnsi="宋体"/>
                <w:sz w:val="21"/>
                <w:szCs w:val="21"/>
              </w:rPr>
              <w:t>完成单位（</w:t>
            </w:r>
            <w:r>
              <w:rPr>
                <w:rFonts w:hint="eastAsia" w:ascii="宋体" w:hAnsi="宋体"/>
                <w:sz w:val="21"/>
                <w:szCs w:val="21"/>
              </w:rPr>
              <w:t>全称</w:t>
            </w:r>
            <w:r>
              <w:rPr>
                <w:rFonts w:ascii="宋体" w:hAnsi="宋体"/>
                <w:sz w:val="21"/>
                <w:szCs w:val="21"/>
              </w:rPr>
              <w:t>）</w:t>
            </w:r>
          </w:p>
        </w:tc>
        <w:tc>
          <w:tcPr>
            <w:tcW w:w="1984" w:type="dxa"/>
            <w:vAlign w:val="center"/>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年卷页码（</w:t>
            </w:r>
            <w:r>
              <w:rPr>
                <w:rFonts w:ascii="宋体" w:hAnsi="宋体"/>
                <w:sz w:val="21"/>
                <w:szCs w:val="21"/>
              </w:rPr>
              <w:t>xx</w:t>
            </w:r>
            <w:r>
              <w:rPr>
                <w:rFonts w:hint="eastAsia" w:ascii="宋体" w:hAnsi="宋体"/>
                <w:sz w:val="21"/>
                <w:szCs w:val="21"/>
              </w:rPr>
              <w:t>年</w:t>
            </w:r>
            <w:r>
              <w:rPr>
                <w:rFonts w:ascii="宋体" w:hAnsi="宋体"/>
                <w:sz w:val="21"/>
                <w:szCs w:val="21"/>
              </w:rPr>
              <w:t>xx</w:t>
            </w:r>
            <w:r>
              <w:rPr>
                <w:rFonts w:hint="eastAsia" w:ascii="宋体" w:hAnsi="宋体"/>
                <w:sz w:val="21"/>
                <w:szCs w:val="21"/>
              </w:rPr>
              <w:t>卷</w:t>
            </w:r>
            <w:r>
              <w:rPr>
                <w:rFonts w:ascii="宋体" w:hAnsi="宋体"/>
                <w:sz w:val="21"/>
                <w:szCs w:val="21"/>
              </w:rPr>
              <w:t>xx</w:t>
            </w:r>
            <w:r>
              <w:rPr>
                <w:rFonts w:hint="eastAsia" w:ascii="宋体" w:hAnsi="宋体"/>
                <w:sz w:val="21"/>
                <w:szCs w:val="21"/>
              </w:rPr>
              <w:t>页）</w:t>
            </w:r>
          </w:p>
        </w:tc>
        <w:tc>
          <w:tcPr>
            <w:tcW w:w="993" w:type="dxa"/>
            <w:vAlign w:val="center"/>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发表时间（某年某月）</w:t>
            </w:r>
          </w:p>
        </w:tc>
        <w:tc>
          <w:tcPr>
            <w:tcW w:w="726" w:type="dxa"/>
            <w:vAlign w:val="center"/>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第一作者</w:t>
            </w:r>
          </w:p>
        </w:tc>
        <w:tc>
          <w:tcPr>
            <w:tcW w:w="868"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国内作者</w:t>
            </w:r>
          </w:p>
        </w:tc>
        <w:tc>
          <w:tcPr>
            <w:tcW w:w="447" w:type="dxa"/>
          </w:tcPr>
          <w:p>
            <w:pPr>
              <w:pStyle w:val="3"/>
              <w:adjustRightInd w:val="0"/>
              <w:spacing w:after="50" w:line="240" w:lineRule="auto"/>
              <w:ind w:firstLine="0" w:firstLineChars="0"/>
              <w:jc w:val="center"/>
              <w:outlineLvl w:val="1"/>
              <w:rPr>
                <w:rFonts w:ascii="宋体"/>
                <w:sz w:val="21"/>
                <w:szCs w:val="21"/>
              </w:rPr>
            </w:pPr>
            <w:r>
              <w:rPr>
                <w:rFonts w:ascii="宋体" w:hAnsi="宋体"/>
                <w:sz w:val="21"/>
                <w:szCs w:val="21"/>
              </w:rPr>
              <w:t>SCI</w:t>
            </w:r>
            <w:r>
              <w:rPr>
                <w:rFonts w:hint="eastAsia" w:ascii="宋体" w:hAnsi="宋体"/>
                <w:sz w:val="21"/>
                <w:szCs w:val="21"/>
              </w:rPr>
              <w:t>他引次数</w:t>
            </w:r>
          </w:p>
        </w:tc>
        <w:tc>
          <w:tcPr>
            <w:tcW w:w="643"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他引总次数</w:t>
            </w:r>
          </w:p>
        </w:tc>
        <w:tc>
          <w:tcPr>
            <w:tcW w:w="643" w:type="dxa"/>
          </w:tcPr>
          <w:p>
            <w:pPr>
              <w:pStyle w:val="3"/>
              <w:adjustRightInd w:val="0"/>
              <w:spacing w:after="50" w:line="240" w:lineRule="auto"/>
              <w:ind w:firstLine="0" w:firstLineChars="0"/>
              <w:jc w:val="center"/>
              <w:outlineLvl w:val="1"/>
              <w:rPr>
                <w:rFonts w:hint="eastAsia" w:ascii="宋体" w:hAnsi="宋体"/>
                <w:sz w:val="21"/>
                <w:szCs w:val="21"/>
              </w:rPr>
            </w:pPr>
            <w:r>
              <w:rPr>
                <w:rFonts w:hint="eastAsia" w:ascii="宋体" w:hAnsi="宋体"/>
                <w:color w:val="000000"/>
                <w:sz w:val="21"/>
                <w:szCs w:val="21"/>
              </w:rPr>
              <w:t>知识产权是否归国内所有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93" w:hRule="exact"/>
          <w:jc w:val="center"/>
        </w:trPr>
        <w:tc>
          <w:tcPr>
            <w:tcW w:w="428" w:type="dxa"/>
            <w:vAlign w:val="center"/>
          </w:tcPr>
          <w:p>
            <w:pPr>
              <w:pStyle w:val="3"/>
              <w:adjustRightInd w:val="0"/>
              <w:spacing w:after="50" w:line="240" w:lineRule="auto"/>
              <w:ind w:firstLine="0" w:firstLineChars="0"/>
              <w:jc w:val="center"/>
              <w:outlineLvl w:val="1"/>
              <w:rPr>
                <w:rFonts w:ascii="宋体" w:hAnsi="宋体"/>
                <w:sz w:val="21"/>
                <w:szCs w:val="21"/>
              </w:rPr>
            </w:pPr>
            <w:r>
              <w:rPr>
                <w:rFonts w:ascii="宋体" w:hAnsi="宋体"/>
                <w:sz w:val="21"/>
                <w:szCs w:val="21"/>
              </w:rPr>
              <w:t>1</w:t>
            </w:r>
          </w:p>
        </w:tc>
        <w:tc>
          <w:tcPr>
            <w:tcW w:w="2515" w:type="dxa"/>
            <w:vAlign w:val="center"/>
          </w:tcPr>
          <w:p>
            <w:pPr>
              <w:widowControl/>
              <w:spacing w:line="240" w:lineRule="exact"/>
              <w:jc w:val="left"/>
              <w:rPr>
                <w:rFonts w:ascii="宋体" w:hAnsi="宋体" w:cs="仿宋_GB2312"/>
                <w:szCs w:val="21"/>
              </w:rPr>
            </w:pPr>
            <w:r>
              <w:rPr>
                <w:rFonts w:ascii="宋体" w:hAnsi="宋体"/>
                <w:szCs w:val="21"/>
              </w:rPr>
              <w:t>Study of Fos, androgen receptor and testosterone in the sub-regions of</w:t>
            </w:r>
            <w:r>
              <w:rPr>
                <w:rFonts w:ascii="宋体" w:hAnsi="宋体" w:cs="仿宋_GB2312"/>
                <w:szCs w:val="21"/>
              </w:rPr>
              <w:t xml:space="preserve"> </w:t>
            </w:r>
            <w:r>
              <w:rPr>
                <w:rFonts w:ascii="宋体" w:hAnsi="宋体"/>
                <w:szCs w:val="21"/>
              </w:rPr>
              <w:t>medial</w:t>
            </w:r>
            <w:r>
              <w:rPr>
                <w:rFonts w:ascii="宋体" w:hAnsi="宋体" w:cs="仿宋_GB2312"/>
                <w:szCs w:val="21"/>
              </w:rPr>
              <w:t xml:space="preserve"> </w:t>
            </w:r>
            <w:r>
              <w:rPr>
                <w:rFonts w:ascii="宋体" w:hAnsi="宋体"/>
                <w:szCs w:val="21"/>
              </w:rPr>
              <w:t>amygdala, bed nucleus of stria</w:t>
            </w:r>
            <w:r>
              <w:rPr>
                <w:rFonts w:ascii="宋体" w:hAnsi="宋体" w:cs="仿宋_GB2312"/>
                <w:szCs w:val="21"/>
              </w:rPr>
              <w:t xml:space="preserve"> </w:t>
            </w:r>
          </w:p>
          <w:p>
            <w:pPr>
              <w:widowControl/>
              <w:spacing w:line="240" w:lineRule="exact"/>
              <w:jc w:val="left"/>
              <w:rPr>
                <w:rFonts w:ascii="宋体" w:hAnsi="宋体" w:cs="仿宋_GB2312"/>
                <w:szCs w:val="21"/>
              </w:rPr>
            </w:pPr>
            <w:r>
              <w:rPr>
                <w:rFonts w:ascii="宋体" w:hAnsi="宋体"/>
                <w:szCs w:val="21"/>
              </w:rPr>
              <w:t>terminalis and medial preoptic area in male</w:t>
            </w:r>
            <w:r>
              <w:rPr>
                <w:rFonts w:ascii="宋体" w:hAnsi="宋体" w:cs="仿宋_GB2312"/>
                <w:szCs w:val="21"/>
              </w:rPr>
              <w:t xml:space="preserve"> </w:t>
            </w:r>
            <w:r>
              <w:rPr>
                <w:rFonts w:ascii="宋体" w:hAnsi="宋体"/>
                <w:szCs w:val="21"/>
              </w:rPr>
              <w:t>mandarin voles in response to chemosensory stimulation</w:t>
            </w:r>
            <w:r>
              <w:rPr>
                <w:rFonts w:ascii="宋体" w:hAnsi="宋体" w:cs="仿宋_GB2312"/>
                <w:szCs w:val="21"/>
              </w:rPr>
              <w:t xml:space="preserve"> </w:t>
            </w:r>
          </w:p>
        </w:tc>
        <w:tc>
          <w:tcPr>
            <w:tcW w:w="1701" w:type="dxa"/>
            <w:vAlign w:val="center"/>
          </w:tcPr>
          <w:p>
            <w:pPr>
              <w:spacing w:before="60" w:after="60" w:line="240" w:lineRule="exact"/>
              <w:rPr>
                <w:rFonts w:ascii="宋体"/>
                <w:szCs w:val="21"/>
              </w:rPr>
            </w:pPr>
            <w:r>
              <w:rPr>
                <w:rFonts w:ascii="宋体" w:hAnsi="宋体"/>
                <w:szCs w:val="21"/>
              </w:rPr>
              <w:t>Behavioural Brain Research</w:t>
            </w:r>
            <w:r>
              <w:rPr>
                <w:rFonts w:hint="eastAsia" w:ascii="宋体" w:hAnsi="宋体"/>
                <w:szCs w:val="21"/>
              </w:rPr>
              <w:t>（</w:t>
            </w:r>
            <w:r>
              <w:rPr>
                <w:rFonts w:ascii="宋体" w:hAnsi="宋体"/>
                <w:szCs w:val="21"/>
              </w:rPr>
              <w:t>SCI</w:t>
            </w:r>
            <w:r>
              <w:rPr>
                <w:rFonts w:hint="eastAsia" w:ascii="宋体" w:hAnsi="宋体"/>
                <w:szCs w:val="21"/>
              </w:rPr>
              <w:t>）</w:t>
            </w:r>
          </w:p>
          <w:p>
            <w:pPr>
              <w:pStyle w:val="3"/>
              <w:adjustRightInd w:val="0"/>
              <w:spacing w:after="50" w:line="240" w:lineRule="auto"/>
              <w:ind w:firstLine="0" w:firstLineChars="0"/>
              <w:outlineLvl w:val="1"/>
              <w:rPr>
                <w:rFonts w:ascii="宋体"/>
                <w:sz w:val="21"/>
                <w:szCs w:val="21"/>
              </w:rPr>
            </w:pPr>
          </w:p>
        </w:tc>
        <w:tc>
          <w:tcPr>
            <w:tcW w:w="1134" w:type="dxa"/>
            <w:vAlign w:val="center"/>
          </w:tcPr>
          <w:p>
            <w:pPr>
              <w:pStyle w:val="3"/>
              <w:adjustRightInd w:val="0"/>
              <w:spacing w:after="50" w:line="240" w:lineRule="auto"/>
              <w:ind w:firstLine="0" w:firstLineChars="0"/>
              <w:outlineLvl w:val="1"/>
              <w:rPr>
                <w:rFonts w:ascii="宋体" w:hAnsi="宋体"/>
                <w:sz w:val="21"/>
                <w:szCs w:val="21"/>
              </w:rPr>
            </w:pPr>
            <w:r>
              <w:rPr>
                <w:rFonts w:ascii="宋体" w:hAnsi="宋体"/>
                <w:sz w:val="21"/>
                <w:szCs w:val="21"/>
              </w:rPr>
              <w:t>Fengqin He,Ruiyong Wu,Peng Yu</w:t>
            </w:r>
          </w:p>
        </w:tc>
        <w:tc>
          <w:tcPr>
            <w:tcW w:w="709"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西安文理学院</w:t>
            </w:r>
          </w:p>
        </w:tc>
        <w:tc>
          <w:tcPr>
            <w:tcW w:w="1984" w:type="dxa"/>
            <w:vAlign w:val="center"/>
          </w:tcPr>
          <w:p>
            <w:pPr>
              <w:pStyle w:val="3"/>
              <w:adjustRightInd w:val="0"/>
              <w:spacing w:after="50" w:line="240" w:lineRule="auto"/>
              <w:ind w:firstLine="0" w:firstLineChars="0"/>
              <w:jc w:val="center"/>
              <w:outlineLvl w:val="1"/>
              <w:rPr>
                <w:rFonts w:ascii="宋体" w:hAnsi="宋体"/>
                <w:sz w:val="21"/>
                <w:szCs w:val="21"/>
              </w:rPr>
            </w:pPr>
            <w:r>
              <w:rPr>
                <w:rFonts w:ascii="宋体" w:hAnsi="宋体"/>
                <w:sz w:val="21"/>
                <w:szCs w:val="21"/>
              </w:rPr>
              <w:t>2014,258:65-74.</w:t>
            </w:r>
          </w:p>
        </w:tc>
        <w:tc>
          <w:tcPr>
            <w:tcW w:w="993" w:type="dxa"/>
          </w:tcPr>
          <w:p>
            <w:pPr>
              <w:rPr>
                <w:rFonts w:ascii="宋体" w:hAnsi="宋体"/>
                <w:szCs w:val="21"/>
              </w:rPr>
            </w:pPr>
            <w:r>
              <w:rPr>
                <w:rFonts w:ascii="宋体" w:hAnsi="宋体"/>
                <w:szCs w:val="21"/>
              </w:rPr>
              <w:t>2014</w:t>
            </w:r>
            <w:r>
              <w:rPr>
                <w:rFonts w:hint="eastAsia" w:ascii="宋体" w:hAnsi="宋体"/>
                <w:szCs w:val="21"/>
              </w:rPr>
              <w:t>01</w:t>
            </w:r>
          </w:p>
        </w:tc>
        <w:tc>
          <w:tcPr>
            <w:tcW w:w="726" w:type="dxa"/>
            <w:vAlign w:val="center"/>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何凤琴</w:t>
            </w:r>
          </w:p>
        </w:tc>
        <w:tc>
          <w:tcPr>
            <w:tcW w:w="868"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何凤琴，武瑞勇，于鹏</w:t>
            </w:r>
          </w:p>
        </w:tc>
        <w:tc>
          <w:tcPr>
            <w:tcW w:w="447" w:type="dxa"/>
          </w:tcPr>
          <w:p>
            <w:pPr>
              <w:pStyle w:val="3"/>
              <w:adjustRightInd w:val="0"/>
              <w:spacing w:after="50" w:line="240" w:lineRule="auto"/>
              <w:ind w:firstLine="0" w:firstLineChars="0"/>
              <w:jc w:val="center"/>
              <w:outlineLvl w:val="1"/>
              <w:rPr>
                <w:rFonts w:ascii="宋体"/>
                <w:sz w:val="21"/>
                <w:szCs w:val="21"/>
              </w:rPr>
            </w:pPr>
            <w:r>
              <w:rPr>
                <w:rFonts w:ascii="宋体" w:hAnsi="宋体"/>
                <w:sz w:val="21"/>
                <w:szCs w:val="21"/>
              </w:rPr>
              <w:t>4</w:t>
            </w:r>
          </w:p>
        </w:tc>
        <w:tc>
          <w:tcPr>
            <w:tcW w:w="643" w:type="dxa"/>
          </w:tcPr>
          <w:p>
            <w:pPr>
              <w:pStyle w:val="3"/>
              <w:adjustRightInd w:val="0"/>
              <w:spacing w:after="50" w:line="240" w:lineRule="auto"/>
              <w:ind w:firstLine="0" w:firstLineChars="0"/>
              <w:jc w:val="center"/>
              <w:outlineLvl w:val="1"/>
              <w:rPr>
                <w:rFonts w:ascii="宋体"/>
                <w:sz w:val="21"/>
                <w:szCs w:val="21"/>
              </w:rPr>
            </w:pPr>
            <w:r>
              <w:rPr>
                <w:rFonts w:ascii="宋体" w:hAnsi="宋体"/>
                <w:sz w:val="21"/>
                <w:szCs w:val="21"/>
              </w:rPr>
              <w:t>4</w:t>
            </w:r>
          </w:p>
        </w:tc>
        <w:tc>
          <w:tcPr>
            <w:tcW w:w="643" w:type="dxa"/>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75" w:hRule="exact"/>
          <w:jc w:val="center"/>
        </w:trPr>
        <w:tc>
          <w:tcPr>
            <w:tcW w:w="428" w:type="dxa"/>
            <w:vAlign w:val="center"/>
          </w:tcPr>
          <w:p>
            <w:pPr>
              <w:pStyle w:val="3"/>
              <w:adjustRightInd w:val="0"/>
              <w:spacing w:after="50" w:line="240" w:lineRule="auto"/>
              <w:ind w:firstLine="0" w:firstLineChars="0"/>
              <w:jc w:val="center"/>
              <w:outlineLvl w:val="1"/>
              <w:rPr>
                <w:rFonts w:ascii="宋体" w:hAnsi="宋体"/>
                <w:sz w:val="21"/>
                <w:szCs w:val="21"/>
              </w:rPr>
            </w:pPr>
            <w:r>
              <w:rPr>
                <w:rFonts w:ascii="宋体" w:hAnsi="宋体"/>
                <w:sz w:val="21"/>
                <w:szCs w:val="21"/>
              </w:rPr>
              <w:t>2</w:t>
            </w:r>
          </w:p>
        </w:tc>
        <w:tc>
          <w:tcPr>
            <w:tcW w:w="2515" w:type="dxa"/>
          </w:tcPr>
          <w:p>
            <w:pPr>
              <w:autoSpaceDE w:val="0"/>
              <w:autoSpaceDN w:val="0"/>
              <w:adjustRightInd w:val="0"/>
              <w:spacing w:line="240" w:lineRule="exact"/>
              <w:jc w:val="left"/>
              <w:rPr>
                <w:rFonts w:ascii="宋体" w:hAnsi="宋体"/>
                <w:bCs/>
                <w:szCs w:val="21"/>
              </w:rPr>
            </w:pPr>
            <w:r>
              <w:rPr>
                <w:rFonts w:ascii="宋体" w:hAnsi="宋体"/>
                <w:bCs/>
                <w:szCs w:val="21"/>
              </w:rPr>
              <w:t>The relationship of prenatal ethanol exposure and</w:t>
            </w:r>
          </w:p>
          <w:p>
            <w:pPr>
              <w:autoSpaceDE w:val="0"/>
              <w:autoSpaceDN w:val="0"/>
              <w:adjustRightInd w:val="0"/>
              <w:spacing w:line="240" w:lineRule="exact"/>
              <w:jc w:val="left"/>
              <w:rPr>
                <w:rFonts w:ascii="宋体" w:hAnsi="宋体"/>
                <w:bCs/>
                <w:szCs w:val="21"/>
              </w:rPr>
            </w:pPr>
            <w:r>
              <w:rPr>
                <w:rFonts w:ascii="宋体" w:hAnsi="宋体"/>
                <w:bCs/>
                <w:szCs w:val="21"/>
              </w:rPr>
              <w:t>anxiety-related behaviors and central androgen</w:t>
            </w:r>
          </w:p>
          <w:p>
            <w:pPr>
              <w:autoSpaceDE w:val="0"/>
              <w:autoSpaceDN w:val="0"/>
              <w:adjustRightInd w:val="0"/>
              <w:spacing w:line="240" w:lineRule="exact"/>
              <w:jc w:val="left"/>
              <w:rPr>
                <w:rFonts w:ascii="宋体" w:hAnsi="宋体"/>
                <w:bCs/>
                <w:szCs w:val="21"/>
              </w:rPr>
            </w:pPr>
            <w:r>
              <w:rPr>
                <w:rFonts w:ascii="宋体" w:hAnsi="宋体"/>
                <w:bCs/>
                <w:szCs w:val="21"/>
              </w:rPr>
              <w:t>receptor and vasopressin expression in adult male</w:t>
            </w:r>
          </w:p>
          <w:p>
            <w:pPr>
              <w:autoSpaceDE w:val="0"/>
              <w:autoSpaceDN w:val="0"/>
              <w:adjustRightInd w:val="0"/>
              <w:spacing w:line="240" w:lineRule="exact"/>
              <w:jc w:val="left"/>
              <w:rPr>
                <w:rFonts w:ascii="宋体" w:hAnsi="宋体"/>
                <w:bCs/>
                <w:szCs w:val="21"/>
              </w:rPr>
            </w:pPr>
            <w:r>
              <w:rPr>
                <w:rFonts w:ascii="宋体" w:hAnsi="宋体"/>
                <w:bCs/>
                <w:szCs w:val="21"/>
              </w:rPr>
              <w:t>mandarin voles</w:t>
            </w:r>
          </w:p>
          <w:p>
            <w:pPr>
              <w:rPr>
                <w:rFonts w:ascii="宋体"/>
                <w:szCs w:val="21"/>
              </w:rPr>
            </w:pPr>
          </w:p>
        </w:tc>
        <w:tc>
          <w:tcPr>
            <w:tcW w:w="1701" w:type="dxa"/>
            <w:vAlign w:val="center"/>
          </w:tcPr>
          <w:p>
            <w:pPr>
              <w:spacing w:line="240" w:lineRule="exact"/>
              <w:rPr>
                <w:rFonts w:ascii="宋体" w:hAnsi="宋体"/>
                <w:szCs w:val="21"/>
              </w:rPr>
            </w:pPr>
            <w:r>
              <w:rPr>
                <w:rFonts w:ascii="宋体" w:hAnsi="宋体"/>
                <w:szCs w:val="21"/>
              </w:rPr>
              <w:t>Neuroscience</w:t>
            </w:r>
            <w:r>
              <w:rPr>
                <w:rFonts w:hint="eastAsia" w:ascii="宋体" w:hAnsi="宋体"/>
                <w:szCs w:val="21"/>
              </w:rPr>
              <w:t>（</w:t>
            </w:r>
            <w:r>
              <w:rPr>
                <w:rFonts w:ascii="宋体" w:hAnsi="宋体"/>
                <w:szCs w:val="21"/>
              </w:rPr>
              <w:t>SCI</w:t>
            </w:r>
            <w:r>
              <w:rPr>
                <w:rFonts w:hint="eastAsia" w:ascii="宋体" w:hAnsi="宋体"/>
                <w:szCs w:val="21"/>
              </w:rPr>
              <w:t>）</w:t>
            </w:r>
          </w:p>
          <w:p>
            <w:pPr>
              <w:pStyle w:val="3"/>
              <w:adjustRightInd w:val="0"/>
              <w:spacing w:after="50" w:line="240" w:lineRule="auto"/>
              <w:ind w:firstLine="0" w:firstLineChars="0"/>
              <w:outlineLvl w:val="1"/>
              <w:rPr>
                <w:rFonts w:ascii="宋体"/>
                <w:sz w:val="21"/>
                <w:szCs w:val="21"/>
              </w:rPr>
            </w:pPr>
          </w:p>
        </w:tc>
        <w:tc>
          <w:tcPr>
            <w:tcW w:w="1134" w:type="dxa"/>
            <w:vAlign w:val="center"/>
          </w:tcPr>
          <w:p>
            <w:pPr>
              <w:pStyle w:val="3"/>
              <w:adjustRightInd w:val="0"/>
              <w:spacing w:after="50" w:line="240" w:lineRule="auto"/>
              <w:ind w:firstLine="0" w:firstLineChars="0"/>
              <w:outlineLvl w:val="1"/>
              <w:rPr>
                <w:rFonts w:ascii="宋体" w:hAnsi="宋体"/>
                <w:sz w:val="21"/>
                <w:szCs w:val="21"/>
              </w:rPr>
            </w:pPr>
            <w:r>
              <w:rPr>
                <w:rFonts w:ascii="宋体" w:hAnsi="宋体"/>
                <w:sz w:val="21"/>
                <w:szCs w:val="21"/>
              </w:rPr>
              <w:t>Fengqin He</w:t>
            </w:r>
          </w:p>
        </w:tc>
        <w:tc>
          <w:tcPr>
            <w:tcW w:w="709" w:type="dxa"/>
          </w:tcPr>
          <w:p>
            <w:pPr>
              <w:pStyle w:val="3"/>
              <w:adjustRightInd w:val="0"/>
              <w:spacing w:after="50" w:line="240" w:lineRule="auto"/>
              <w:ind w:firstLine="0" w:firstLineChars="0"/>
              <w:outlineLvl w:val="1"/>
              <w:rPr>
                <w:rFonts w:ascii="宋体"/>
                <w:sz w:val="21"/>
                <w:szCs w:val="21"/>
              </w:rPr>
            </w:pPr>
            <w:r>
              <w:rPr>
                <w:rFonts w:hint="eastAsia" w:ascii="宋体" w:hAnsi="宋体"/>
                <w:sz w:val="21"/>
                <w:szCs w:val="21"/>
              </w:rPr>
              <w:t>西安文理学院</w:t>
            </w:r>
          </w:p>
        </w:tc>
        <w:tc>
          <w:tcPr>
            <w:tcW w:w="1984" w:type="dxa"/>
            <w:vAlign w:val="center"/>
          </w:tcPr>
          <w:p>
            <w:pPr>
              <w:pStyle w:val="3"/>
              <w:adjustRightInd w:val="0"/>
              <w:spacing w:after="50" w:line="240" w:lineRule="auto"/>
              <w:ind w:firstLine="0" w:firstLineChars="0"/>
              <w:outlineLvl w:val="1"/>
              <w:rPr>
                <w:rFonts w:ascii="宋体" w:hAnsi="宋体"/>
                <w:sz w:val="21"/>
                <w:szCs w:val="21"/>
              </w:rPr>
            </w:pPr>
            <w:r>
              <w:rPr>
                <w:rFonts w:ascii="宋体" w:hAnsi="宋体"/>
                <w:sz w:val="21"/>
                <w:szCs w:val="21"/>
              </w:rPr>
              <w:t>2014</w:t>
            </w:r>
            <w:r>
              <w:rPr>
                <w:rFonts w:hint="eastAsia" w:ascii="宋体" w:hAnsi="宋体"/>
                <w:sz w:val="21"/>
                <w:szCs w:val="21"/>
              </w:rPr>
              <w:t>，</w:t>
            </w:r>
            <w:r>
              <w:rPr>
                <w:rFonts w:ascii="宋体" w:hAnsi="宋体"/>
                <w:sz w:val="21"/>
                <w:szCs w:val="21"/>
              </w:rPr>
              <w:t>266:224-234.</w:t>
            </w:r>
          </w:p>
        </w:tc>
        <w:tc>
          <w:tcPr>
            <w:tcW w:w="993" w:type="dxa"/>
          </w:tcPr>
          <w:p>
            <w:pPr>
              <w:rPr>
                <w:rFonts w:ascii="宋体" w:hAnsi="宋体"/>
                <w:szCs w:val="21"/>
              </w:rPr>
            </w:pPr>
            <w:r>
              <w:rPr>
                <w:rFonts w:ascii="宋体" w:hAnsi="宋体"/>
                <w:szCs w:val="21"/>
              </w:rPr>
              <w:t>2014</w:t>
            </w:r>
            <w:r>
              <w:rPr>
                <w:rFonts w:hint="eastAsia" w:ascii="宋体" w:hAnsi="宋体"/>
                <w:szCs w:val="21"/>
              </w:rPr>
              <w:t>04</w:t>
            </w:r>
          </w:p>
        </w:tc>
        <w:tc>
          <w:tcPr>
            <w:tcW w:w="726" w:type="dxa"/>
            <w:vAlign w:val="center"/>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何凤琴</w:t>
            </w:r>
          </w:p>
        </w:tc>
        <w:tc>
          <w:tcPr>
            <w:tcW w:w="868"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何凤琴</w:t>
            </w:r>
          </w:p>
        </w:tc>
        <w:tc>
          <w:tcPr>
            <w:tcW w:w="447" w:type="dxa"/>
          </w:tcPr>
          <w:p>
            <w:pPr>
              <w:pStyle w:val="3"/>
              <w:adjustRightInd w:val="0"/>
              <w:spacing w:after="50" w:line="240" w:lineRule="auto"/>
              <w:ind w:firstLine="0" w:firstLineChars="0"/>
              <w:jc w:val="center"/>
              <w:outlineLvl w:val="1"/>
              <w:rPr>
                <w:rFonts w:ascii="宋体"/>
                <w:sz w:val="21"/>
                <w:szCs w:val="21"/>
              </w:rPr>
            </w:pPr>
            <w:r>
              <w:rPr>
                <w:rFonts w:ascii="宋体" w:hAnsi="宋体"/>
                <w:sz w:val="21"/>
                <w:szCs w:val="21"/>
              </w:rPr>
              <w:t>5</w:t>
            </w:r>
          </w:p>
        </w:tc>
        <w:tc>
          <w:tcPr>
            <w:tcW w:w="643" w:type="dxa"/>
          </w:tcPr>
          <w:p>
            <w:pPr>
              <w:pStyle w:val="3"/>
              <w:adjustRightInd w:val="0"/>
              <w:spacing w:after="50" w:line="240" w:lineRule="auto"/>
              <w:ind w:firstLine="0" w:firstLineChars="0"/>
              <w:jc w:val="center"/>
              <w:outlineLvl w:val="1"/>
              <w:rPr>
                <w:rFonts w:ascii="宋体"/>
                <w:sz w:val="21"/>
                <w:szCs w:val="21"/>
              </w:rPr>
            </w:pPr>
            <w:r>
              <w:rPr>
                <w:rFonts w:ascii="宋体" w:hAnsi="宋体"/>
                <w:sz w:val="21"/>
                <w:szCs w:val="21"/>
              </w:rPr>
              <w:t>5</w:t>
            </w:r>
          </w:p>
        </w:tc>
        <w:tc>
          <w:tcPr>
            <w:tcW w:w="643" w:type="dxa"/>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66" w:hRule="exact"/>
          <w:jc w:val="center"/>
        </w:trPr>
        <w:tc>
          <w:tcPr>
            <w:tcW w:w="428" w:type="dxa"/>
            <w:vAlign w:val="center"/>
          </w:tcPr>
          <w:p>
            <w:pPr>
              <w:pStyle w:val="3"/>
              <w:adjustRightInd w:val="0"/>
              <w:spacing w:after="50" w:line="240" w:lineRule="auto"/>
              <w:ind w:firstLine="0" w:firstLineChars="0"/>
              <w:jc w:val="center"/>
              <w:outlineLvl w:val="1"/>
              <w:rPr>
                <w:rFonts w:ascii="宋体" w:hAnsi="宋体"/>
                <w:sz w:val="21"/>
                <w:szCs w:val="21"/>
              </w:rPr>
            </w:pPr>
            <w:r>
              <w:rPr>
                <w:rFonts w:ascii="宋体" w:hAnsi="宋体"/>
                <w:sz w:val="21"/>
                <w:szCs w:val="21"/>
              </w:rPr>
              <w:t>3</w:t>
            </w:r>
          </w:p>
        </w:tc>
        <w:tc>
          <w:tcPr>
            <w:tcW w:w="2515" w:type="dxa"/>
          </w:tcPr>
          <w:p>
            <w:pPr>
              <w:autoSpaceDE w:val="0"/>
              <w:autoSpaceDN w:val="0"/>
              <w:adjustRightInd w:val="0"/>
              <w:spacing w:line="240" w:lineRule="exact"/>
              <w:jc w:val="left"/>
              <w:rPr>
                <w:rFonts w:ascii="宋体"/>
                <w:bCs/>
                <w:kern w:val="0"/>
                <w:szCs w:val="21"/>
              </w:rPr>
            </w:pPr>
            <w:r>
              <w:rPr>
                <w:rFonts w:ascii="宋体" w:hAnsi="宋体"/>
                <w:bCs/>
                <w:szCs w:val="21"/>
              </w:rPr>
              <w:t>Relationship between sexual satiety and motivation, brain androgen receptors and testosterone in</w:t>
            </w:r>
            <w:r>
              <w:rPr>
                <w:rFonts w:ascii="宋体" w:hAnsi="宋体"/>
                <w:bCs/>
                <w:kern w:val="0"/>
                <w:szCs w:val="21"/>
              </w:rPr>
              <w:t xml:space="preserve"> </w:t>
            </w:r>
            <w:r>
              <w:rPr>
                <w:rFonts w:ascii="宋体" w:hAnsi="宋体"/>
                <w:bCs/>
                <w:szCs w:val="21"/>
              </w:rPr>
              <w:t>male mandarin voles</w:t>
            </w:r>
          </w:p>
          <w:p>
            <w:pPr>
              <w:rPr>
                <w:rFonts w:ascii="宋体"/>
                <w:szCs w:val="21"/>
              </w:rPr>
            </w:pPr>
          </w:p>
        </w:tc>
        <w:tc>
          <w:tcPr>
            <w:tcW w:w="1701" w:type="dxa"/>
            <w:vAlign w:val="center"/>
          </w:tcPr>
          <w:p>
            <w:pPr>
              <w:spacing w:line="240" w:lineRule="exact"/>
              <w:jc w:val="left"/>
              <w:rPr>
                <w:rFonts w:ascii="宋体"/>
                <w:szCs w:val="21"/>
              </w:rPr>
            </w:pPr>
            <w:r>
              <w:rPr>
                <w:rFonts w:ascii="宋体" w:hAnsi="宋体"/>
                <w:szCs w:val="21"/>
              </w:rPr>
              <w:t>Behavioural Brain Research</w:t>
            </w:r>
            <w:r>
              <w:rPr>
                <w:rFonts w:hint="eastAsia" w:ascii="宋体" w:hAnsi="宋体"/>
                <w:szCs w:val="21"/>
              </w:rPr>
              <w:t>（</w:t>
            </w:r>
            <w:r>
              <w:rPr>
                <w:rFonts w:ascii="宋体" w:hAnsi="宋体"/>
                <w:szCs w:val="21"/>
              </w:rPr>
              <w:t>SCI</w:t>
            </w:r>
            <w:r>
              <w:rPr>
                <w:rFonts w:hint="eastAsia" w:ascii="宋体" w:hAnsi="宋体"/>
                <w:szCs w:val="21"/>
              </w:rPr>
              <w:t>）</w:t>
            </w:r>
          </w:p>
          <w:p>
            <w:pPr>
              <w:pStyle w:val="3"/>
              <w:adjustRightInd w:val="0"/>
              <w:spacing w:after="50" w:line="240" w:lineRule="auto"/>
              <w:ind w:firstLine="0" w:firstLineChars="0"/>
              <w:outlineLvl w:val="1"/>
              <w:rPr>
                <w:rFonts w:ascii="宋体"/>
                <w:sz w:val="21"/>
                <w:szCs w:val="21"/>
              </w:rPr>
            </w:pPr>
          </w:p>
        </w:tc>
        <w:tc>
          <w:tcPr>
            <w:tcW w:w="1134" w:type="dxa"/>
            <w:vAlign w:val="center"/>
          </w:tcPr>
          <w:p>
            <w:pPr>
              <w:pStyle w:val="3"/>
              <w:adjustRightInd w:val="0"/>
              <w:spacing w:after="50" w:line="240" w:lineRule="auto"/>
              <w:ind w:firstLine="0" w:firstLineChars="0"/>
              <w:outlineLvl w:val="1"/>
              <w:rPr>
                <w:rFonts w:ascii="宋体" w:hAnsi="宋体"/>
                <w:sz w:val="21"/>
                <w:szCs w:val="21"/>
              </w:rPr>
            </w:pPr>
            <w:r>
              <w:rPr>
                <w:rFonts w:ascii="宋体" w:hAnsi="宋体"/>
                <w:sz w:val="21"/>
                <w:szCs w:val="21"/>
              </w:rPr>
              <w:t>Fengqin He, Peng Yu, Ruiyong Wu</w:t>
            </w:r>
          </w:p>
        </w:tc>
        <w:tc>
          <w:tcPr>
            <w:tcW w:w="709"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西安文理学院</w:t>
            </w:r>
          </w:p>
        </w:tc>
        <w:tc>
          <w:tcPr>
            <w:tcW w:w="1984" w:type="dxa"/>
            <w:vAlign w:val="center"/>
          </w:tcPr>
          <w:p>
            <w:pPr>
              <w:pStyle w:val="3"/>
              <w:adjustRightInd w:val="0"/>
              <w:spacing w:after="50" w:line="240" w:lineRule="auto"/>
              <w:ind w:firstLine="0" w:firstLineChars="0"/>
              <w:jc w:val="center"/>
              <w:outlineLvl w:val="1"/>
              <w:rPr>
                <w:rFonts w:ascii="宋体" w:hAnsi="宋体"/>
                <w:sz w:val="21"/>
                <w:szCs w:val="21"/>
              </w:rPr>
            </w:pPr>
            <w:r>
              <w:rPr>
                <w:rFonts w:ascii="宋体" w:hAnsi="宋体"/>
                <w:sz w:val="21"/>
                <w:szCs w:val="21"/>
              </w:rPr>
              <w:t>2013,250:257-263.</w:t>
            </w:r>
          </w:p>
        </w:tc>
        <w:tc>
          <w:tcPr>
            <w:tcW w:w="993" w:type="dxa"/>
          </w:tcPr>
          <w:p>
            <w:pPr>
              <w:rPr>
                <w:rFonts w:ascii="宋体" w:hAnsi="宋体"/>
                <w:szCs w:val="21"/>
              </w:rPr>
            </w:pPr>
            <w:r>
              <w:rPr>
                <w:rFonts w:ascii="宋体" w:hAnsi="宋体"/>
                <w:szCs w:val="21"/>
              </w:rPr>
              <w:t>2013</w:t>
            </w:r>
            <w:r>
              <w:rPr>
                <w:rFonts w:hint="eastAsia" w:ascii="宋体" w:hAnsi="宋体"/>
                <w:szCs w:val="21"/>
              </w:rPr>
              <w:t>08</w:t>
            </w:r>
          </w:p>
        </w:tc>
        <w:tc>
          <w:tcPr>
            <w:tcW w:w="726" w:type="dxa"/>
            <w:vAlign w:val="center"/>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何凤琴</w:t>
            </w:r>
          </w:p>
        </w:tc>
        <w:tc>
          <w:tcPr>
            <w:tcW w:w="868"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何凤琴，于鹏，武瑞勇</w:t>
            </w:r>
          </w:p>
        </w:tc>
        <w:tc>
          <w:tcPr>
            <w:tcW w:w="447" w:type="dxa"/>
          </w:tcPr>
          <w:p>
            <w:pPr>
              <w:pStyle w:val="3"/>
              <w:adjustRightInd w:val="0"/>
              <w:spacing w:after="50" w:line="240" w:lineRule="auto"/>
              <w:ind w:firstLine="0" w:firstLineChars="0"/>
              <w:jc w:val="center"/>
              <w:outlineLvl w:val="1"/>
              <w:rPr>
                <w:rFonts w:ascii="宋体"/>
                <w:sz w:val="21"/>
                <w:szCs w:val="21"/>
              </w:rPr>
            </w:pPr>
            <w:r>
              <w:rPr>
                <w:rFonts w:ascii="宋体" w:hAnsi="宋体"/>
                <w:sz w:val="21"/>
                <w:szCs w:val="21"/>
              </w:rPr>
              <w:t>3</w:t>
            </w:r>
          </w:p>
        </w:tc>
        <w:tc>
          <w:tcPr>
            <w:tcW w:w="643" w:type="dxa"/>
          </w:tcPr>
          <w:p>
            <w:pPr>
              <w:pStyle w:val="3"/>
              <w:adjustRightInd w:val="0"/>
              <w:spacing w:after="50" w:line="240" w:lineRule="auto"/>
              <w:ind w:firstLine="0" w:firstLineChars="0"/>
              <w:jc w:val="center"/>
              <w:outlineLvl w:val="1"/>
              <w:rPr>
                <w:rFonts w:ascii="宋体"/>
                <w:sz w:val="21"/>
                <w:szCs w:val="21"/>
              </w:rPr>
            </w:pPr>
            <w:r>
              <w:rPr>
                <w:rFonts w:ascii="宋体" w:hAnsi="宋体"/>
                <w:sz w:val="21"/>
                <w:szCs w:val="21"/>
              </w:rPr>
              <w:t>3</w:t>
            </w:r>
          </w:p>
        </w:tc>
        <w:tc>
          <w:tcPr>
            <w:tcW w:w="643" w:type="dxa"/>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34" w:hRule="exact"/>
          <w:jc w:val="center"/>
        </w:trPr>
        <w:tc>
          <w:tcPr>
            <w:tcW w:w="428" w:type="dxa"/>
            <w:vAlign w:val="center"/>
          </w:tcPr>
          <w:p>
            <w:pPr>
              <w:pStyle w:val="3"/>
              <w:adjustRightInd w:val="0"/>
              <w:spacing w:after="50" w:line="240" w:lineRule="auto"/>
              <w:ind w:firstLine="0" w:firstLineChars="0"/>
              <w:jc w:val="center"/>
              <w:outlineLvl w:val="1"/>
              <w:rPr>
                <w:rFonts w:ascii="宋体" w:hAnsi="宋体"/>
                <w:sz w:val="21"/>
                <w:szCs w:val="21"/>
              </w:rPr>
            </w:pPr>
            <w:r>
              <w:rPr>
                <w:rFonts w:ascii="宋体" w:hAnsi="宋体"/>
                <w:sz w:val="21"/>
                <w:szCs w:val="21"/>
              </w:rPr>
              <w:t>4</w:t>
            </w:r>
          </w:p>
          <w:p>
            <w:pPr>
              <w:pStyle w:val="3"/>
              <w:adjustRightInd w:val="0"/>
              <w:spacing w:after="50" w:line="240" w:lineRule="auto"/>
              <w:ind w:firstLine="0" w:firstLineChars="0"/>
              <w:jc w:val="center"/>
              <w:outlineLvl w:val="1"/>
              <w:rPr>
                <w:rFonts w:ascii="宋体" w:hAnsi="宋体"/>
                <w:sz w:val="21"/>
                <w:szCs w:val="21"/>
              </w:rPr>
            </w:pPr>
          </w:p>
        </w:tc>
        <w:tc>
          <w:tcPr>
            <w:tcW w:w="2515" w:type="dxa"/>
          </w:tcPr>
          <w:p>
            <w:pPr>
              <w:jc w:val="left"/>
              <w:rPr>
                <w:rFonts w:ascii="宋体" w:hAnsi="宋体"/>
                <w:szCs w:val="21"/>
              </w:rPr>
            </w:pPr>
            <w:r>
              <w:rPr>
                <w:rFonts w:ascii="宋体" w:hAnsi="宋体"/>
                <w:szCs w:val="21"/>
              </w:rPr>
              <w:t xml:space="preserve">Perinatal Stress Effects on Later Anxiety and Hormone Secretion in Male Mandarin Voles </w:t>
            </w:r>
          </w:p>
          <w:p>
            <w:pPr>
              <w:rPr>
                <w:rFonts w:ascii="宋体"/>
                <w:szCs w:val="21"/>
              </w:rPr>
            </w:pPr>
          </w:p>
        </w:tc>
        <w:tc>
          <w:tcPr>
            <w:tcW w:w="1701" w:type="dxa"/>
            <w:vAlign w:val="center"/>
          </w:tcPr>
          <w:p>
            <w:pPr>
              <w:pStyle w:val="3"/>
              <w:adjustRightInd w:val="0"/>
              <w:spacing w:after="50" w:line="240" w:lineRule="auto"/>
              <w:ind w:firstLine="0" w:firstLineChars="0"/>
              <w:outlineLvl w:val="1"/>
              <w:rPr>
                <w:rFonts w:ascii="宋体"/>
                <w:sz w:val="21"/>
                <w:szCs w:val="21"/>
              </w:rPr>
            </w:pPr>
            <w:r>
              <w:rPr>
                <w:rFonts w:ascii="宋体" w:hAnsi="宋体"/>
                <w:sz w:val="21"/>
                <w:szCs w:val="21"/>
              </w:rPr>
              <w:t>Behavioral Neuroscience</w:t>
            </w:r>
            <w:r>
              <w:rPr>
                <w:rFonts w:hint="eastAsia" w:ascii="宋体" w:hAnsi="宋体"/>
                <w:sz w:val="21"/>
                <w:szCs w:val="21"/>
              </w:rPr>
              <w:t>（</w:t>
            </w:r>
            <w:r>
              <w:rPr>
                <w:rFonts w:ascii="宋体" w:hAnsi="宋体"/>
                <w:sz w:val="21"/>
                <w:szCs w:val="21"/>
              </w:rPr>
              <w:t>SCI</w:t>
            </w:r>
            <w:r>
              <w:rPr>
                <w:rFonts w:hint="eastAsia" w:ascii="宋体" w:hAnsi="宋体"/>
                <w:sz w:val="21"/>
                <w:szCs w:val="21"/>
              </w:rPr>
              <w:t>）</w:t>
            </w:r>
          </w:p>
        </w:tc>
        <w:tc>
          <w:tcPr>
            <w:tcW w:w="1134" w:type="dxa"/>
            <w:vAlign w:val="center"/>
          </w:tcPr>
          <w:p>
            <w:pPr>
              <w:pStyle w:val="3"/>
              <w:adjustRightInd w:val="0"/>
              <w:spacing w:after="50" w:line="240" w:lineRule="auto"/>
              <w:ind w:firstLine="0" w:firstLineChars="0"/>
              <w:outlineLvl w:val="1"/>
              <w:rPr>
                <w:rFonts w:ascii="宋体" w:hAnsi="宋体"/>
                <w:sz w:val="21"/>
                <w:szCs w:val="21"/>
              </w:rPr>
            </w:pPr>
            <w:r>
              <w:rPr>
                <w:rFonts w:ascii="宋体" w:hAnsi="宋体"/>
                <w:sz w:val="21"/>
                <w:szCs w:val="21"/>
              </w:rPr>
              <w:t>Fengqin He,Gang Fang,Bo Wang,Xinjun Guo,Chunlin Guo</w:t>
            </w:r>
          </w:p>
        </w:tc>
        <w:tc>
          <w:tcPr>
            <w:tcW w:w="709"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西安文理学院</w:t>
            </w:r>
          </w:p>
        </w:tc>
        <w:tc>
          <w:tcPr>
            <w:tcW w:w="1984" w:type="dxa"/>
            <w:vAlign w:val="center"/>
          </w:tcPr>
          <w:p>
            <w:pPr>
              <w:pStyle w:val="3"/>
              <w:adjustRightInd w:val="0"/>
              <w:spacing w:after="50" w:line="240" w:lineRule="auto"/>
              <w:ind w:firstLine="0" w:firstLineChars="0"/>
              <w:jc w:val="center"/>
              <w:outlineLvl w:val="1"/>
              <w:rPr>
                <w:rFonts w:ascii="宋体" w:hAnsi="宋体"/>
                <w:sz w:val="21"/>
                <w:szCs w:val="21"/>
              </w:rPr>
            </w:pPr>
            <w:r>
              <w:rPr>
                <w:rFonts w:ascii="宋体" w:hAnsi="宋体"/>
                <w:sz w:val="21"/>
                <w:szCs w:val="21"/>
              </w:rPr>
              <w:t>2015,129:789-800.</w:t>
            </w:r>
          </w:p>
        </w:tc>
        <w:tc>
          <w:tcPr>
            <w:tcW w:w="993" w:type="dxa"/>
          </w:tcPr>
          <w:p>
            <w:pPr>
              <w:rPr>
                <w:rFonts w:ascii="宋体" w:hAnsi="宋体"/>
                <w:szCs w:val="21"/>
              </w:rPr>
            </w:pPr>
            <w:r>
              <w:rPr>
                <w:rFonts w:ascii="宋体" w:hAnsi="宋体"/>
                <w:szCs w:val="21"/>
              </w:rPr>
              <w:t>2015</w:t>
            </w:r>
            <w:r>
              <w:rPr>
                <w:rFonts w:hint="eastAsia" w:ascii="宋体" w:hAnsi="宋体"/>
                <w:szCs w:val="21"/>
              </w:rPr>
              <w:t>12</w:t>
            </w:r>
          </w:p>
        </w:tc>
        <w:tc>
          <w:tcPr>
            <w:tcW w:w="726" w:type="dxa"/>
            <w:vAlign w:val="center"/>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何凤琴</w:t>
            </w:r>
          </w:p>
        </w:tc>
        <w:tc>
          <w:tcPr>
            <w:tcW w:w="868"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何凤琴，方刚，王波，郭新军，郭春林</w:t>
            </w:r>
          </w:p>
        </w:tc>
        <w:tc>
          <w:tcPr>
            <w:tcW w:w="447" w:type="dxa"/>
          </w:tcPr>
          <w:p>
            <w:pPr>
              <w:pStyle w:val="3"/>
              <w:adjustRightInd w:val="0"/>
              <w:spacing w:after="50" w:line="240" w:lineRule="auto"/>
              <w:ind w:firstLine="0" w:firstLineChars="0"/>
              <w:jc w:val="center"/>
              <w:outlineLvl w:val="1"/>
              <w:rPr>
                <w:rFonts w:ascii="宋体"/>
                <w:sz w:val="21"/>
                <w:szCs w:val="21"/>
              </w:rPr>
            </w:pPr>
            <w:r>
              <w:rPr>
                <w:rFonts w:hint="eastAsia" w:ascii="宋体"/>
                <w:sz w:val="21"/>
                <w:szCs w:val="21"/>
              </w:rPr>
              <w:t>0</w:t>
            </w:r>
          </w:p>
        </w:tc>
        <w:tc>
          <w:tcPr>
            <w:tcW w:w="643" w:type="dxa"/>
          </w:tcPr>
          <w:p>
            <w:pPr>
              <w:pStyle w:val="3"/>
              <w:adjustRightInd w:val="0"/>
              <w:spacing w:after="50" w:line="240" w:lineRule="auto"/>
              <w:ind w:firstLine="0" w:firstLineChars="0"/>
              <w:jc w:val="center"/>
              <w:outlineLvl w:val="1"/>
              <w:rPr>
                <w:rFonts w:ascii="宋体"/>
                <w:sz w:val="21"/>
                <w:szCs w:val="21"/>
              </w:rPr>
            </w:pPr>
            <w:r>
              <w:rPr>
                <w:rFonts w:ascii="宋体" w:hAnsi="宋体"/>
                <w:sz w:val="21"/>
                <w:szCs w:val="21"/>
              </w:rPr>
              <w:t>1</w:t>
            </w:r>
          </w:p>
        </w:tc>
        <w:tc>
          <w:tcPr>
            <w:tcW w:w="643" w:type="dxa"/>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66" w:hRule="exact"/>
          <w:jc w:val="center"/>
        </w:trPr>
        <w:tc>
          <w:tcPr>
            <w:tcW w:w="428" w:type="dxa"/>
            <w:vAlign w:val="center"/>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5</w:t>
            </w:r>
          </w:p>
        </w:tc>
        <w:tc>
          <w:tcPr>
            <w:tcW w:w="2515" w:type="dxa"/>
          </w:tcPr>
          <w:p>
            <w:pPr>
              <w:jc w:val="left"/>
              <w:rPr>
                <w:rFonts w:ascii="宋体" w:hAnsi="宋体"/>
                <w:szCs w:val="21"/>
              </w:rPr>
            </w:pPr>
            <w:r>
              <w:rPr>
                <w:rFonts w:ascii="宋体" w:hAnsi="宋体"/>
                <w:szCs w:val="21"/>
              </w:rPr>
              <w:t>Automated DNA Assembly Based on Statistical Language Model</w:t>
            </w:r>
          </w:p>
        </w:tc>
        <w:tc>
          <w:tcPr>
            <w:tcW w:w="1701" w:type="dxa"/>
            <w:vAlign w:val="center"/>
          </w:tcPr>
          <w:p>
            <w:pPr>
              <w:pStyle w:val="3"/>
              <w:adjustRightInd w:val="0"/>
              <w:spacing w:after="50" w:line="240" w:lineRule="auto"/>
              <w:ind w:firstLine="0" w:firstLineChars="0"/>
              <w:jc w:val="left"/>
              <w:outlineLvl w:val="1"/>
              <w:rPr>
                <w:rFonts w:ascii="宋体" w:hAnsi="宋体"/>
                <w:sz w:val="21"/>
                <w:szCs w:val="21"/>
              </w:rPr>
            </w:pPr>
            <w:r>
              <w:rPr>
                <w:rFonts w:ascii="宋体" w:hAnsi="宋体"/>
                <w:sz w:val="21"/>
                <w:szCs w:val="21"/>
              </w:rPr>
              <w:t>Basic and clinical pharmacology and toxicology</w:t>
            </w:r>
            <w:r>
              <w:rPr>
                <w:rFonts w:hint="eastAsia" w:ascii="宋体" w:hAnsi="宋体"/>
                <w:sz w:val="21"/>
                <w:szCs w:val="21"/>
              </w:rPr>
              <w:t xml:space="preserve"> </w:t>
            </w:r>
            <w:r>
              <w:rPr>
                <w:rFonts w:ascii="宋体" w:hAnsi="宋体"/>
                <w:sz w:val="21"/>
                <w:szCs w:val="21"/>
              </w:rPr>
              <w:t>(SCI)</w:t>
            </w:r>
          </w:p>
        </w:tc>
        <w:tc>
          <w:tcPr>
            <w:tcW w:w="1134" w:type="dxa"/>
            <w:vAlign w:val="center"/>
          </w:tcPr>
          <w:p>
            <w:pPr>
              <w:pStyle w:val="3"/>
              <w:adjustRightInd w:val="0"/>
              <w:spacing w:line="240" w:lineRule="auto"/>
              <w:ind w:firstLine="0" w:firstLineChars="0"/>
              <w:outlineLvl w:val="1"/>
              <w:rPr>
                <w:rFonts w:asciiTheme="minorEastAsia" w:hAnsiTheme="minorEastAsia" w:eastAsiaTheme="minorEastAsia"/>
                <w:sz w:val="21"/>
                <w:szCs w:val="21"/>
              </w:rPr>
            </w:pPr>
            <w:r>
              <w:rPr>
                <w:rFonts w:cs="仿宋_GB2312" w:asciiTheme="minorEastAsia" w:hAnsiTheme="minorEastAsia" w:eastAsiaTheme="minorEastAsia"/>
                <w:sz w:val="21"/>
                <w:szCs w:val="21"/>
              </w:rPr>
              <w:t>Gang Fang</w:t>
            </w:r>
          </w:p>
        </w:tc>
        <w:tc>
          <w:tcPr>
            <w:tcW w:w="709" w:type="dxa"/>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西安文理学院</w:t>
            </w:r>
          </w:p>
        </w:tc>
        <w:tc>
          <w:tcPr>
            <w:tcW w:w="1984" w:type="dxa"/>
            <w:vAlign w:val="center"/>
          </w:tcPr>
          <w:p>
            <w:pPr>
              <w:pStyle w:val="3"/>
              <w:adjustRightInd w:val="0"/>
              <w:spacing w:after="50" w:line="240" w:lineRule="auto"/>
              <w:ind w:firstLine="0" w:firstLineChars="0"/>
              <w:jc w:val="center"/>
              <w:outlineLvl w:val="1"/>
              <w:rPr>
                <w:rFonts w:ascii="Times New Roman"/>
                <w:sz w:val="21"/>
                <w:szCs w:val="21"/>
              </w:rPr>
            </w:pPr>
            <w:r>
              <w:rPr>
                <w:rFonts w:cs="仿宋_GB2312" w:asciiTheme="minorEastAsia" w:hAnsiTheme="minorEastAsia" w:eastAsiaTheme="minorEastAsia"/>
                <w:sz w:val="21"/>
                <w:szCs w:val="21"/>
              </w:rPr>
              <w:t>2016,58.</w:t>
            </w:r>
          </w:p>
        </w:tc>
        <w:tc>
          <w:tcPr>
            <w:tcW w:w="993" w:type="dxa"/>
          </w:tcPr>
          <w:p>
            <w:pPr>
              <w:rPr>
                <w:rFonts w:ascii="Times New Roman" w:hAnsi="Times New Roman"/>
                <w:szCs w:val="21"/>
              </w:rPr>
            </w:pPr>
            <w:r>
              <w:rPr>
                <w:rFonts w:cs="仿宋_GB2312" w:asciiTheme="minorEastAsia" w:hAnsiTheme="minorEastAsia"/>
                <w:szCs w:val="21"/>
              </w:rPr>
              <w:t>201</w:t>
            </w:r>
            <w:r>
              <w:rPr>
                <w:rFonts w:hint="eastAsia" w:cs="仿宋_GB2312" w:asciiTheme="minorEastAsia" w:hAnsiTheme="minorEastAsia"/>
                <w:szCs w:val="21"/>
              </w:rPr>
              <w:t>602</w:t>
            </w:r>
          </w:p>
        </w:tc>
        <w:tc>
          <w:tcPr>
            <w:tcW w:w="726" w:type="dxa"/>
            <w:vAlign w:val="center"/>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方刚</w:t>
            </w:r>
          </w:p>
        </w:tc>
        <w:tc>
          <w:tcPr>
            <w:tcW w:w="868" w:type="dxa"/>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方刚</w:t>
            </w:r>
          </w:p>
        </w:tc>
        <w:tc>
          <w:tcPr>
            <w:tcW w:w="447" w:type="dxa"/>
          </w:tcPr>
          <w:p>
            <w:pPr>
              <w:pStyle w:val="3"/>
              <w:adjustRightInd w:val="0"/>
              <w:spacing w:after="50" w:line="240" w:lineRule="auto"/>
              <w:ind w:firstLine="0" w:firstLineChars="0"/>
              <w:outlineLvl w:val="1"/>
              <w:rPr>
                <w:rFonts w:ascii="宋体"/>
                <w:sz w:val="21"/>
                <w:szCs w:val="21"/>
              </w:rPr>
            </w:pPr>
            <w:r>
              <w:rPr>
                <w:rFonts w:hint="eastAsia" w:ascii="宋体"/>
                <w:sz w:val="21"/>
                <w:szCs w:val="21"/>
              </w:rPr>
              <w:t>0</w:t>
            </w:r>
          </w:p>
        </w:tc>
        <w:tc>
          <w:tcPr>
            <w:tcW w:w="643" w:type="dxa"/>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0</w:t>
            </w:r>
          </w:p>
        </w:tc>
        <w:tc>
          <w:tcPr>
            <w:tcW w:w="643" w:type="dxa"/>
          </w:tcPr>
          <w:p>
            <w:pPr>
              <w:pStyle w:val="3"/>
              <w:adjustRightInd w:val="0"/>
              <w:spacing w:after="50" w:line="240" w:lineRule="auto"/>
              <w:ind w:firstLine="0" w:firstLineChars="0"/>
              <w:outlineLvl w:val="1"/>
              <w:rPr>
                <w:rFonts w:hint="eastAsia" w:ascii="宋体" w:hAnsi="宋体"/>
                <w:sz w:val="21"/>
                <w:szCs w:val="21"/>
              </w:rPr>
            </w:pPr>
            <w:r>
              <w:rPr>
                <w:rFonts w:hint="eastAsia" w:ascii="宋体" w:hAnsi="宋体"/>
                <w:sz w:val="21"/>
                <w:szCs w:val="21"/>
              </w:rPr>
              <w:t>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66" w:hRule="exact"/>
          <w:jc w:val="center"/>
        </w:trPr>
        <w:tc>
          <w:tcPr>
            <w:tcW w:w="428" w:type="dxa"/>
            <w:vAlign w:val="center"/>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6</w:t>
            </w:r>
          </w:p>
        </w:tc>
        <w:tc>
          <w:tcPr>
            <w:tcW w:w="2515" w:type="dxa"/>
          </w:tcPr>
          <w:p>
            <w:pPr>
              <w:jc w:val="left"/>
              <w:rPr>
                <w:rFonts w:ascii="宋体" w:hAnsi="宋体"/>
                <w:szCs w:val="21"/>
              </w:rPr>
            </w:pPr>
            <w:r>
              <w:rPr>
                <w:rFonts w:cs="仿宋_GB2312" w:asciiTheme="minorEastAsia" w:hAnsiTheme="minorEastAsia"/>
                <w:szCs w:val="21"/>
              </w:rPr>
              <w:t>Al An Algorithm to Mine the Optimal Ingredient Pattern of Traditional Chinese Herb</w:t>
            </w:r>
            <w:r>
              <w:rPr>
                <w:rFonts w:hint="eastAsia" w:cs="仿宋_GB2312" w:asciiTheme="minorEastAsia" w:hAnsiTheme="minorEastAsia"/>
                <w:szCs w:val="21"/>
              </w:rPr>
              <w:t>s</w:t>
            </w:r>
          </w:p>
        </w:tc>
        <w:tc>
          <w:tcPr>
            <w:tcW w:w="1701" w:type="dxa"/>
            <w:vAlign w:val="center"/>
          </w:tcPr>
          <w:p>
            <w:pPr>
              <w:pStyle w:val="3"/>
              <w:adjustRightInd w:val="0"/>
              <w:spacing w:after="50" w:line="240" w:lineRule="auto"/>
              <w:ind w:firstLine="0" w:firstLineChars="0"/>
              <w:jc w:val="left"/>
              <w:outlineLvl w:val="1"/>
              <w:rPr>
                <w:rFonts w:cs="仿宋_GB2312" w:asciiTheme="minorEastAsia" w:hAnsiTheme="minorEastAsia" w:eastAsiaTheme="minorEastAsia"/>
                <w:szCs w:val="21"/>
              </w:rPr>
            </w:pPr>
            <w:r>
              <w:rPr>
                <w:rFonts w:cs="仿宋_GB2312" w:asciiTheme="minorEastAsia" w:hAnsiTheme="minorEastAsia" w:eastAsiaTheme="minorEastAsia"/>
                <w:szCs w:val="21"/>
              </w:rPr>
              <w:t>Journal of investigative medicine</w:t>
            </w:r>
          </w:p>
          <w:p>
            <w:pPr>
              <w:pStyle w:val="3"/>
              <w:adjustRightInd w:val="0"/>
              <w:spacing w:after="50" w:line="240" w:lineRule="auto"/>
              <w:ind w:firstLine="0" w:firstLineChars="0"/>
              <w:jc w:val="left"/>
              <w:outlineLvl w:val="1"/>
              <w:rPr>
                <w:rFonts w:ascii="宋体" w:hAnsi="宋体"/>
                <w:sz w:val="21"/>
                <w:szCs w:val="21"/>
              </w:rPr>
            </w:pPr>
            <w:r>
              <w:rPr>
                <w:rFonts w:ascii="宋体" w:hAnsi="宋体"/>
                <w:sz w:val="21"/>
                <w:szCs w:val="21"/>
              </w:rPr>
              <w:t>(SCI)</w:t>
            </w:r>
          </w:p>
        </w:tc>
        <w:tc>
          <w:tcPr>
            <w:tcW w:w="1134" w:type="dxa"/>
            <w:vAlign w:val="center"/>
          </w:tcPr>
          <w:p>
            <w:pPr>
              <w:pStyle w:val="3"/>
              <w:adjustRightInd w:val="0"/>
              <w:spacing w:line="240" w:lineRule="auto"/>
              <w:ind w:firstLine="0" w:firstLineChars="0"/>
              <w:outlineLvl w:val="1"/>
              <w:rPr>
                <w:rFonts w:cs="仿宋_GB2312" w:asciiTheme="minorEastAsia" w:hAnsiTheme="minorEastAsia" w:eastAsiaTheme="minorEastAsia"/>
                <w:sz w:val="21"/>
                <w:szCs w:val="21"/>
              </w:rPr>
            </w:pPr>
            <w:r>
              <w:rPr>
                <w:rFonts w:cs="仿宋_GB2312" w:asciiTheme="minorEastAsia" w:hAnsiTheme="minorEastAsia" w:eastAsiaTheme="minorEastAsia"/>
                <w:szCs w:val="21"/>
              </w:rPr>
              <w:t>Gang Fang, Jlane Zhang</w:t>
            </w:r>
          </w:p>
        </w:tc>
        <w:tc>
          <w:tcPr>
            <w:tcW w:w="709" w:type="dxa"/>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西安文理学院</w:t>
            </w:r>
          </w:p>
        </w:tc>
        <w:tc>
          <w:tcPr>
            <w:tcW w:w="1984" w:type="dxa"/>
            <w:vAlign w:val="center"/>
          </w:tcPr>
          <w:p>
            <w:pPr>
              <w:pStyle w:val="3"/>
              <w:adjustRightInd w:val="0"/>
              <w:spacing w:after="50" w:line="240" w:lineRule="auto"/>
              <w:ind w:firstLine="0" w:firstLineChars="0"/>
              <w:jc w:val="center"/>
              <w:outlineLvl w:val="1"/>
              <w:rPr>
                <w:rFonts w:cs="仿宋_GB2312" w:asciiTheme="minorEastAsia" w:hAnsiTheme="minorEastAsia" w:eastAsiaTheme="minorEastAsia"/>
                <w:sz w:val="21"/>
                <w:szCs w:val="21"/>
              </w:rPr>
            </w:pPr>
            <w:r>
              <w:rPr>
                <w:rFonts w:cs="仿宋_GB2312" w:asciiTheme="minorEastAsia" w:hAnsiTheme="minorEastAsia" w:eastAsiaTheme="minorEastAsia"/>
                <w:szCs w:val="21"/>
              </w:rPr>
              <w:t xml:space="preserve">2015, 59. </w:t>
            </w:r>
          </w:p>
        </w:tc>
        <w:tc>
          <w:tcPr>
            <w:tcW w:w="993" w:type="dxa"/>
          </w:tcPr>
          <w:p>
            <w:pPr>
              <w:rPr>
                <w:rFonts w:cs="仿宋_GB2312" w:asciiTheme="minorEastAsia" w:hAnsiTheme="minorEastAsia"/>
                <w:szCs w:val="21"/>
              </w:rPr>
            </w:pPr>
            <w:r>
              <w:rPr>
                <w:rFonts w:cs="仿宋_GB2312" w:asciiTheme="minorEastAsia" w:hAnsiTheme="minorEastAsia"/>
                <w:szCs w:val="21"/>
              </w:rPr>
              <w:t>2015</w:t>
            </w:r>
            <w:r>
              <w:rPr>
                <w:rFonts w:hint="eastAsia" w:cs="仿宋_GB2312" w:asciiTheme="minorEastAsia" w:hAnsiTheme="minorEastAsia"/>
                <w:szCs w:val="21"/>
              </w:rPr>
              <w:t>12</w:t>
            </w:r>
          </w:p>
        </w:tc>
        <w:tc>
          <w:tcPr>
            <w:tcW w:w="726" w:type="dxa"/>
            <w:vAlign w:val="center"/>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方刚</w:t>
            </w:r>
          </w:p>
        </w:tc>
        <w:tc>
          <w:tcPr>
            <w:tcW w:w="868" w:type="dxa"/>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方刚</w:t>
            </w:r>
          </w:p>
        </w:tc>
        <w:tc>
          <w:tcPr>
            <w:tcW w:w="447" w:type="dxa"/>
          </w:tcPr>
          <w:p>
            <w:pPr>
              <w:pStyle w:val="3"/>
              <w:adjustRightInd w:val="0"/>
              <w:spacing w:after="50" w:line="240" w:lineRule="auto"/>
              <w:ind w:firstLine="0" w:firstLineChars="0"/>
              <w:outlineLvl w:val="1"/>
              <w:rPr>
                <w:rFonts w:ascii="宋体"/>
                <w:sz w:val="21"/>
                <w:szCs w:val="21"/>
              </w:rPr>
            </w:pPr>
            <w:r>
              <w:rPr>
                <w:rFonts w:hint="eastAsia" w:ascii="宋体"/>
                <w:sz w:val="21"/>
                <w:szCs w:val="21"/>
              </w:rPr>
              <w:t>0</w:t>
            </w:r>
          </w:p>
        </w:tc>
        <w:tc>
          <w:tcPr>
            <w:tcW w:w="643" w:type="dxa"/>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0</w:t>
            </w:r>
          </w:p>
        </w:tc>
        <w:tc>
          <w:tcPr>
            <w:tcW w:w="643" w:type="dxa"/>
          </w:tcPr>
          <w:p>
            <w:pPr>
              <w:pStyle w:val="3"/>
              <w:adjustRightInd w:val="0"/>
              <w:spacing w:after="50" w:line="240" w:lineRule="auto"/>
              <w:ind w:firstLine="0" w:firstLineChars="0"/>
              <w:outlineLvl w:val="1"/>
              <w:rPr>
                <w:rFonts w:hint="eastAsia" w:ascii="宋体" w:hAnsi="宋体"/>
                <w:sz w:val="21"/>
                <w:szCs w:val="21"/>
              </w:rPr>
            </w:pPr>
            <w:r>
              <w:rPr>
                <w:rFonts w:hint="eastAsia" w:ascii="宋体" w:hAnsi="宋体"/>
                <w:sz w:val="21"/>
                <w:szCs w:val="21"/>
              </w:rPr>
              <w:t>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66" w:hRule="exact"/>
          <w:jc w:val="center"/>
        </w:trPr>
        <w:tc>
          <w:tcPr>
            <w:tcW w:w="428" w:type="dxa"/>
            <w:vAlign w:val="center"/>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7</w:t>
            </w:r>
          </w:p>
        </w:tc>
        <w:tc>
          <w:tcPr>
            <w:tcW w:w="2515" w:type="dxa"/>
          </w:tcPr>
          <w:p>
            <w:pPr>
              <w:jc w:val="left"/>
              <w:rPr>
                <w:rFonts w:cs="仿宋_GB2312" w:asciiTheme="minorEastAsia" w:hAnsiTheme="minorEastAsia"/>
                <w:szCs w:val="21"/>
              </w:rPr>
            </w:pPr>
            <w:r>
              <w:rPr>
                <w:rFonts w:cs="仿宋_GB2312" w:asciiTheme="minorEastAsia" w:hAnsiTheme="minorEastAsia"/>
                <w:szCs w:val="21"/>
              </w:rPr>
              <w:t xml:space="preserve">A DNA Computer Model to Solve Integer Programming Problem </w:t>
            </w:r>
          </w:p>
          <w:p>
            <w:pPr>
              <w:rPr>
                <w:rFonts w:ascii="宋体" w:hAnsi="宋体"/>
                <w:szCs w:val="21"/>
              </w:rPr>
            </w:pPr>
          </w:p>
        </w:tc>
        <w:tc>
          <w:tcPr>
            <w:tcW w:w="1701" w:type="dxa"/>
            <w:vAlign w:val="center"/>
          </w:tcPr>
          <w:p>
            <w:pPr>
              <w:pStyle w:val="3"/>
              <w:adjustRightInd w:val="0"/>
              <w:spacing w:after="50" w:line="240" w:lineRule="auto"/>
              <w:ind w:firstLine="0" w:firstLineChars="0"/>
              <w:outlineLvl w:val="1"/>
              <w:rPr>
                <w:rFonts w:cs="仿宋_GB2312" w:asciiTheme="minorEastAsia" w:hAnsiTheme="minorEastAsia" w:eastAsiaTheme="minorEastAsia"/>
                <w:sz w:val="21"/>
                <w:szCs w:val="21"/>
              </w:rPr>
            </w:pPr>
            <w:r>
              <w:rPr>
                <w:rFonts w:cs="仿宋_GB2312" w:asciiTheme="minorEastAsia" w:hAnsiTheme="minorEastAsia" w:eastAsiaTheme="minorEastAsia"/>
                <w:sz w:val="21"/>
                <w:szCs w:val="21"/>
              </w:rPr>
              <w:t>Journal of Computational and Theoretical Nanoscience</w:t>
            </w:r>
          </w:p>
          <w:p>
            <w:pPr>
              <w:pStyle w:val="3"/>
              <w:adjustRightInd w:val="0"/>
              <w:spacing w:after="50" w:line="240" w:lineRule="auto"/>
              <w:ind w:firstLine="0" w:firstLineChars="0"/>
              <w:outlineLvl w:val="1"/>
              <w:rPr>
                <w:rFonts w:ascii="宋体" w:hAnsi="宋体"/>
                <w:sz w:val="21"/>
                <w:szCs w:val="21"/>
              </w:rPr>
            </w:pPr>
            <w:r>
              <w:rPr>
                <w:rFonts w:ascii="宋体" w:hAnsi="宋体"/>
                <w:sz w:val="21"/>
                <w:szCs w:val="21"/>
              </w:rPr>
              <w:t>(SCI)</w:t>
            </w:r>
          </w:p>
        </w:tc>
        <w:tc>
          <w:tcPr>
            <w:tcW w:w="1134" w:type="dxa"/>
            <w:vAlign w:val="center"/>
          </w:tcPr>
          <w:p>
            <w:pPr>
              <w:pStyle w:val="3"/>
              <w:adjustRightInd w:val="0"/>
              <w:spacing w:after="50" w:line="240" w:lineRule="auto"/>
              <w:ind w:firstLine="0" w:firstLineChars="0"/>
              <w:outlineLvl w:val="1"/>
              <w:rPr>
                <w:rFonts w:ascii="宋体"/>
                <w:sz w:val="21"/>
                <w:szCs w:val="21"/>
              </w:rPr>
            </w:pPr>
            <w:r>
              <w:rPr>
                <w:rFonts w:cs="仿宋_GB2312" w:asciiTheme="minorEastAsia" w:hAnsiTheme="minorEastAsia" w:eastAsiaTheme="minorEastAsia"/>
                <w:sz w:val="21"/>
                <w:szCs w:val="21"/>
              </w:rPr>
              <w:t>Gang Fang</w:t>
            </w:r>
            <w:r>
              <w:rPr>
                <w:rFonts w:hint="eastAsia" w:cs="仿宋_GB2312" w:asciiTheme="minorEastAsia" w:hAnsiTheme="minorEastAsia" w:eastAsiaTheme="minorEastAsia"/>
                <w:sz w:val="21"/>
                <w:szCs w:val="21"/>
              </w:rPr>
              <w:t>，</w:t>
            </w:r>
            <w:r>
              <w:rPr>
                <w:rFonts w:cs="仿宋_GB2312" w:asciiTheme="minorEastAsia" w:hAnsiTheme="minorEastAsia" w:eastAsiaTheme="minorEastAsia"/>
                <w:sz w:val="21"/>
                <w:szCs w:val="21"/>
              </w:rPr>
              <w:t xml:space="preserve"> Zhu Yan</w:t>
            </w:r>
          </w:p>
        </w:tc>
        <w:tc>
          <w:tcPr>
            <w:tcW w:w="709" w:type="dxa"/>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西安文理学院</w:t>
            </w:r>
          </w:p>
        </w:tc>
        <w:tc>
          <w:tcPr>
            <w:tcW w:w="1984" w:type="dxa"/>
            <w:vAlign w:val="center"/>
          </w:tcPr>
          <w:p>
            <w:pPr>
              <w:pStyle w:val="3"/>
              <w:adjustRightInd w:val="0"/>
              <w:spacing w:after="50" w:line="240" w:lineRule="auto"/>
              <w:ind w:firstLine="0" w:firstLineChars="0"/>
              <w:jc w:val="center"/>
              <w:outlineLvl w:val="1"/>
              <w:rPr>
                <w:rFonts w:ascii="Times New Roman"/>
                <w:sz w:val="21"/>
                <w:szCs w:val="21"/>
              </w:rPr>
            </w:pPr>
            <w:r>
              <w:rPr>
                <w:rFonts w:cs="仿宋_GB2312" w:asciiTheme="minorEastAsia" w:hAnsiTheme="minorEastAsia" w:eastAsiaTheme="minorEastAsia"/>
                <w:sz w:val="21"/>
                <w:szCs w:val="21"/>
              </w:rPr>
              <w:t>2011</w:t>
            </w:r>
            <w:r>
              <w:rPr>
                <w:rFonts w:hint="eastAsia" w:cs="仿宋_GB2312" w:asciiTheme="minorEastAsia" w:hAnsiTheme="minorEastAsia" w:eastAsiaTheme="minorEastAsia"/>
                <w:sz w:val="21"/>
                <w:szCs w:val="21"/>
              </w:rPr>
              <w:t>，</w:t>
            </w:r>
            <w:r>
              <w:rPr>
                <w:rFonts w:cs="仿宋_GB2312" w:asciiTheme="minorEastAsia" w:hAnsiTheme="minorEastAsia" w:eastAsiaTheme="minorEastAsia"/>
                <w:sz w:val="21"/>
                <w:szCs w:val="21"/>
              </w:rPr>
              <w:t xml:space="preserve">8(2): 274-281. </w:t>
            </w:r>
          </w:p>
        </w:tc>
        <w:tc>
          <w:tcPr>
            <w:tcW w:w="993" w:type="dxa"/>
          </w:tcPr>
          <w:p>
            <w:pPr>
              <w:rPr>
                <w:rFonts w:ascii="Times New Roman" w:hAnsi="Times New Roman"/>
                <w:szCs w:val="21"/>
              </w:rPr>
            </w:pPr>
            <w:r>
              <w:rPr>
                <w:rFonts w:hint="eastAsia" w:ascii="Times New Roman" w:hAnsi="Times New Roman"/>
                <w:szCs w:val="21"/>
              </w:rPr>
              <w:t>201102</w:t>
            </w:r>
          </w:p>
        </w:tc>
        <w:tc>
          <w:tcPr>
            <w:tcW w:w="726" w:type="dxa"/>
            <w:vAlign w:val="center"/>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方刚</w:t>
            </w:r>
          </w:p>
        </w:tc>
        <w:tc>
          <w:tcPr>
            <w:tcW w:w="868" w:type="dxa"/>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方刚，朱岩</w:t>
            </w:r>
          </w:p>
        </w:tc>
        <w:tc>
          <w:tcPr>
            <w:tcW w:w="447" w:type="dxa"/>
          </w:tcPr>
          <w:p>
            <w:pPr>
              <w:pStyle w:val="3"/>
              <w:adjustRightInd w:val="0"/>
              <w:spacing w:after="50" w:line="240" w:lineRule="auto"/>
              <w:ind w:firstLine="0" w:firstLineChars="0"/>
              <w:outlineLvl w:val="1"/>
              <w:rPr>
                <w:rFonts w:ascii="宋体"/>
                <w:sz w:val="21"/>
                <w:szCs w:val="21"/>
              </w:rPr>
            </w:pPr>
            <w:r>
              <w:rPr>
                <w:rFonts w:hint="eastAsia" w:ascii="宋体"/>
                <w:sz w:val="21"/>
                <w:szCs w:val="21"/>
              </w:rPr>
              <w:t>1</w:t>
            </w:r>
          </w:p>
        </w:tc>
        <w:tc>
          <w:tcPr>
            <w:tcW w:w="643" w:type="dxa"/>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1</w:t>
            </w:r>
          </w:p>
        </w:tc>
        <w:tc>
          <w:tcPr>
            <w:tcW w:w="643" w:type="dxa"/>
          </w:tcPr>
          <w:p>
            <w:pPr>
              <w:pStyle w:val="3"/>
              <w:adjustRightInd w:val="0"/>
              <w:spacing w:after="50" w:line="240" w:lineRule="auto"/>
              <w:ind w:firstLine="0" w:firstLineChars="0"/>
              <w:outlineLvl w:val="1"/>
              <w:rPr>
                <w:rFonts w:hint="eastAsia" w:ascii="宋体" w:hAnsi="宋体"/>
                <w:sz w:val="21"/>
                <w:szCs w:val="21"/>
              </w:rPr>
            </w:pPr>
            <w:r>
              <w:rPr>
                <w:rFonts w:hint="eastAsia" w:ascii="宋体" w:hAnsi="宋体"/>
                <w:sz w:val="21"/>
                <w:szCs w:val="21"/>
              </w:rPr>
              <w:t>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866" w:hRule="exact"/>
          <w:jc w:val="center"/>
        </w:trPr>
        <w:tc>
          <w:tcPr>
            <w:tcW w:w="428" w:type="dxa"/>
            <w:vAlign w:val="center"/>
          </w:tcPr>
          <w:p>
            <w:pPr>
              <w:pStyle w:val="3"/>
              <w:adjustRightInd w:val="0"/>
              <w:spacing w:after="50" w:line="240" w:lineRule="auto"/>
              <w:ind w:firstLine="0" w:firstLineChars="0"/>
              <w:jc w:val="center"/>
              <w:outlineLvl w:val="1"/>
              <w:rPr>
                <w:rFonts w:ascii="宋体" w:hAnsi="宋体"/>
                <w:sz w:val="21"/>
                <w:szCs w:val="21"/>
              </w:rPr>
            </w:pPr>
            <w:r>
              <w:rPr>
                <w:rFonts w:hint="eastAsia" w:ascii="宋体" w:hAnsi="宋体"/>
                <w:sz w:val="21"/>
                <w:szCs w:val="21"/>
              </w:rPr>
              <w:t>8</w:t>
            </w:r>
          </w:p>
        </w:tc>
        <w:tc>
          <w:tcPr>
            <w:tcW w:w="2515" w:type="dxa"/>
          </w:tcPr>
          <w:p>
            <w:pPr>
              <w:spacing w:before="60" w:after="60" w:line="240" w:lineRule="exact"/>
              <w:jc w:val="left"/>
              <w:rPr>
                <w:rFonts w:ascii="宋体" w:hAnsi="宋体"/>
                <w:szCs w:val="21"/>
              </w:rPr>
            </w:pPr>
            <w:r>
              <w:rPr>
                <w:rFonts w:ascii="宋体" w:hAnsi="宋体"/>
                <w:szCs w:val="21"/>
              </w:rPr>
              <w:t xml:space="preserve">Prenatal Ethanol Exposure Increases Depressive-Like Behavior and Oxytocin Expressions in Adult Female </w:t>
            </w:r>
          </w:p>
          <w:p>
            <w:pPr>
              <w:spacing w:before="60" w:after="60" w:line="240" w:lineRule="exact"/>
              <w:jc w:val="left"/>
              <w:rPr>
                <w:rFonts w:ascii="宋体" w:hAnsi="宋体"/>
                <w:szCs w:val="21"/>
              </w:rPr>
            </w:pPr>
            <w:r>
              <w:rPr>
                <w:rFonts w:ascii="宋体" w:hAnsi="宋体"/>
                <w:szCs w:val="21"/>
              </w:rPr>
              <w:t xml:space="preserve">Central Estrogen Receptor </w:t>
            </w:r>
          </w:p>
          <w:p>
            <w:pPr>
              <w:autoSpaceDE w:val="0"/>
              <w:autoSpaceDN w:val="0"/>
              <w:adjustRightInd w:val="0"/>
              <w:spacing w:line="240" w:lineRule="exact"/>
              <w:jc w:val="left"/>
              <w:rPr>
                <w:rFonts w:ascii="宋体" w:hAnsi="宋体"/>
                <w:bCs/>
                <w:color w:val="231F20"/>
                <w:szCs w:val="21"/>
              </w:rPr>
            </w:pPr>
            <w:r>
              <w:rPr>
                <w:rFonts w:ascii="宋体" w:hAnsi="宋体"/>
                <w:szCs w:val="21"/>
              </w:rPr>
              <w:t>Mandarin Voles</w:t>
            </w:r>
            <w:r>
              <w:rPr>
                <w:rFonts w:ascii="宋体" w:hAnsi="宋体"/>
                <w:bCs/>
                <w:color w:val="231F20"/>
                <w:szCs w:val="21"/>
              </w:rPr>
              <w:t xml:space="preserve"> </w:t>
            </w:r>
          </w:p>
          <w:p>
            <w:pPr>
              <w:rPr>
                <w:rFonts w:ascii="宋体"/>
                <w:szCs w:val="21"/>
              </w:rPr>
            </w:pPr>
          </w:p>
        </w:tc>
        <w:tc>
          <w:tcPr>
            <w:tcW w:w="1701" w:type="dxa"/>
            <w:vAlign w:val="center"/>
          </w:tcPr>
          <w:p>
            <w:pPr>
              <w:spacing w:before="60" w:after="60" w:line="240" w:lineRule="exact"/>
              <w:jc w:val="center"/>
              <w:rPr>
                <w:rFonts w:ascii="宋体"/>
                <w:szCs w:val="21"/>
              </w:rPr>
            </w:pPr>
            <w:r>
              <w:rPr>
                <w:rFonts w:ascii="宋体" w:hAnsi="宋体"/>
                <w:color w:val="000000"/>
                <w:szCs w:val="21"/>
              </w:rPr>
              <w:t>Zoolog Research</w:t>
            </w:r>
            <w:r>
              <w:rPr>
                <w:rFonts w:hint="eastAsia" w:ascii="宋体" w:hAnsi="宋体"/>
                <w:szCs w:val="21"/>
              </w:rPr>
              <w:t>（</w:t>
            </w:r>
            <w:r>
              <w:rPr>
                <w:rFonts w:ascii="宋体" w:hAnsi="宋体"/>
                <w:szCs w:val="21"/>
              </w:rPr>
              <w:t>SCI</w:t>
            </w:r>
            <w:r>
              <w:rPr>
                <w:rFonts w:hint="eastAsia" w:ascii="宋体" w:hAnsi="宋体"/>
                <w:szCs w:val="21"/>
              </w:rPr>
              <w:t>）</w:t>
            </w:r>
          </w:p>
          <w:p>
            <w:pPr>
              <w:pStyle w:val="3"/>
              <w:adjustRightInd w:val="0"/>
              <w:spacing w:after="50" w:line="240" w:lineRule="auto"/>
              <w:ind w:firstLine="0" w:firstLineChars="0"/>
              <w:outlineLvl w:val="1"/>
              <w:rPr>
                <w:rFonts w:ascii="宋体"/>
                <w:sz w:val="21"/>
                <w:szCs w:val="21"/>
              </w:rPr>
            </w:pPr>
          </w:p>
          <w:p>
            <w:pPr>
              <w:rPr>
                <w:szCs w:val="21"/>
              </w:rPr>
            </w:pPr>
          </w:p>
          <w:p>
            <w:pPr>
              <w:rPr>
                <w:szCs w:val="21"/>
              </w:rPr>
            </w:pPr>
          </w:p>
        </w:tc>
        <w:tc>
          <w:tcPr>
            <w:tcW w:w="1134" w:type="dxa"/>
            <w:vAlign w:val="center"/>
          </w:tcPr>
          <w:p>
            <w:pPr>
              <w:pStyle w:val="3"/>
              <w:adjustRightInd w:val="0"/>
              <w:spacing w:after="50" w:line="240" w:lineRule="auto"/>
              <w:ind w:firstLine="0" w:firstLineChars="0"/>
              <w:outlineLvl w:val="1"/>
              <w:rPr>
                <w:rFonts w:ascii="宋体" w:hAnsi="宋体"/>
                <w:sz w:val="21"/>
                <w:szCs w:val="21"/>
              </w:rPr>
            </w:pPr>
            <w:r>
              <w:rPr>
                <w:rFonts w:ascii="宋体" w:hAnsi="宋体"/>
                <w:sz w:val="21"/>
                <w:szCs w:val="21"/>
              </w:rPr>
              <w:t>Fengqin He,Jie Zhang,Xiang Guo</w:t>
            </w:r>
          </w:p>
        </w:tc>
        <w:tc>
          <w:tcPr>
            <w:tcW w:w="709" w:type="dxa"/>
          </w:tcPr>
          <w:p>
            <w:pPr>
              <w:pStyle w:val="3"/>
              <w:adjustRightInd w:val="0"/>
              <w:spacing w:after="50" w:line="240" w:lineRule="auto"/>
              <w:ind w:firstLine="0" w:firstLineChars="0"/>
              <w:jc w:val="center"/>
              <w:outlineLvl w:val="1"/>
              <w:rPr>
                <w:rFonts w:ascii="宋体"/>
                <w:sz w:val="21"/>
                <w:szCs w:val="21"/>
              </w:rPr>
            </w:pPr>
            <w:r>
              <w:rPr>
                <w:rFonts w:hint="eastAsia" w:ascii="宋体" w:hAnsi="宋体"/>
                <w:sz w:val="21"/>
                <w:szCs w:val="21"/>
              </w:rPr>
              <w:t>西安文理学院</w:t>
            </w:r>
          </w:p>
        </w:tc>
        <w:tc>
          <w:tcPr>
            <w:tcW w:w="1984" w:type="dxa"/>
            <w:vAlign w:val="center"/>
          </w:tcPr>
          <w:p>
            <w:pPr>
              <w:pStyle w:val="3"/>
              <w:adjustRightInd w:val="0"/>
              <w:spacing w:after="50" w:line="240" w:lineRule="auto"/>
              <w:ind w:firstLine="0" w:firstLineChars="0"/>
              <w:jc w:val="center"/>
              <w:outlineLvl w:val="1"/>
              <w:rPr>
                <w:rFonts w:ascii="宋体" w:hAnsi="宋体"/>
                <w:sz w:val="21"/>
                <w:szCs w:val="21"/>
              </w:rPr>
            </w:pPr>
            <w:r>
              <w:rPr>
                <w:rFonts w:ascii="宋体" w:hAnsi="宋体"/>
                <w:sz w:val="21"/>
                <w:szCs w:val="21"/>
              </w:rPr>
              <w:t>2012,51:1-11</w:t>
            </w:r>
          </w:p>
        </w:tc>
        <w:tc>
          <w:tcPr>
            <w:tcW w:w="993" w:type="dxa"/>
          </w:tcPr>
          <w:p>
            <w:pPr>
              <w:rPr>
                <w:rFonts w:ascii="宋体" w:hAnsi="宋体"/>
                <w:szCs w:val="21"/>
              </w:rPr>
            </w:pPr>
            <w:r>
              <w:rPr>
                <w:rFonts w:ascii="宋体" w:hAnsi="宋体"/>
                <w:szCs w:val="21"/>
              </w:rPr>
              <w:t>2012</w:t>
            </w:r>
            <w:r>
              <w:rPr>
                <w:rFonts w:hint="eastAsia" w:ascii="宋体" w:hAnsi="宋体"/>
                <w:szCs w:val="21"/>
              </w:rPr>
              <w:t>01</w:t>
            </w:r>
          </w:p>
        </w:tc>
        <w:tc>
          <w:tcPr>
            <w:tcW w:w="726" w:type="dxa"/>
            <w:vAlign w:val="center"/>
          </w:tcPr>
          <w:p>
            <w:pPr>
              <w:pStyle w:val="3"/>
              <w:adjustRightInd w:val="0"/>
              <w:spacing w:after="50" w:line="240" w:lineRule="auto"/>
              <w:ind w:firstLine="0" w:firstLineChars="0"/>
              <w:outlineLvl w:val="1"/>
              <w:rPr>
                <w:rFonts w:ascii="宋体"/>
                <w:sz w:val="21"/>
                <w:szCs w:val="21"/>
              </w:rPr>
            </w:pPr>
            <w:r>
              <w:rPr>
                <w:rFonts w:hint="eastAsia" w:ascii="宋体" w:hAnsi="宋体"/>
                <w:sz w:val="21"/>
                <w:szCs w:val="21"/>
              </w:rPr>
              <w:t>何凤琴</w:t>
            </w:r>
          </w:p>
        </w:tc>
        <w:tc>
          <w:tcPr>
            <w:tcW w:w="868" w:type="dxa"/>
          </w:tcPr>
          <w:p>
            <w:pPr>
              <w:pStyle w:val="3"/>
              <w:adjustRightInd w:val="0"/>
              <w:spacing w:after="50" w:line="240" w:lineRule="auto"/>
              <w:ind w:firstLine="0" w:firstLineChars="0"/>
              <w:outlineLvl w:val="1"/>
              <w:rPr>
                <w:rFonts w:ascii="宋体"/>
                <w:sz w:val="21"/>
                <w:szCs w:val="21"/>
              </w:rPr>
            </w:pPr>
            <w:r>
              <w:rPr>
                <w:rFonts w:hint="eastAsia" w:ascii="宋体" w:hAnsi="宋体"/>
                <w:sz w:val="21"/>
                <w:szCs w:val="21"/>
              </w:rPr>
              <w:t>何凤琴，张洁，郭翔</w:t>
            </w:r>
          </w:p>
        </w:tc>
        <w:tc>
          <w:tcPr>
            <w:tcW w:w="447" w:type="dxa"/>
          </w:tcPr>
          <w:p>
            <w:pPr>
              <w:pStyle w:val="3"/>
              <w:adjustRightInd w:val="0"/>
              <w:spacing w:after="50" w:line="240" w:lineRule="auto"/>
              <w:ind w:firstLine="0" w:firstLineChars="0"/>
              <w:outlineLvl w:val="1"/>
              <w:rPr>
                <w:rFonts w:ascii="宋体"/>
                <w:sz w:val="21"/>
                <w:szCs w:val="21"/>
              </w:rPr>
            </w:pPr>
            <w:r>
              <w:rPr>
                <w:rFonts w:ascii="宋体" w:hAnsi="宋体"/>
                <w:sz w:val="21"/>
                <w:szCs w:val="21"/>
              </w:rPr>
              <w:t>2</w:t>
            </w:r>
          </w:p>
        </w:tc>
        <w:tc>
          <w:tcPr>
            <w:tcW w:w="643" w:type="dxa"/>
          </w:tcPr>
          <w:p>
            <w:pPr>
              <w:pStyle w:val="3"/>
              <w:adjustRightInd w:val="0"/>
              <w:spacing w:after="50" w:line="240" w:lineRule="auto"/>
              <w:ind w:firstLine="0" w:firstLineChars="0"/>
              <w:outlineLvl w:val="1"/>
              <w:rPr>
                <w:rFonts w:ascii="宋体"/>
                <w:sz w:val="21"/>
                <w:szCs w:val="21"/>
              </w:rPr>
            </w:pPr>
            <w:r>
              <w:rPr>
                <w:rFonts w:ascii="宋体" w:hAnsi="宋体"/>
                <w:sz w:val="21"/>
                <w:szCs w:val="21"/>
              </w:rPr>
              <w:t>2</w:t>
            </w:r>
          </w:p>
        </w:tc>
        <w:tc>
          <w:tcPr>
            <w:tcW w:w="643" w:type="dxa"/>
          </w:tcPr>
          <w:p>
            <w:pPr>
              <w:pStyle w:val="3"/>
              <w:adjustRightInd w:val="0"/>
              <w:spacing w:after="50" w:line="240" w:lineRule="auto"/>
              <w:ind w:firstLine="0" w:firstLineChars="0"/>
              <w:outlineLvl w:val="1"/>
              <w:rPr>
                <w:rFonts w:ascii="宋体" w:hAnsi="宋体"/>
                <w:sz w:val="21"/>
                <w:szCs w:val="21"/>
              </w:rPr>
            </w:pPr>
            <w:r>
              <w:rPr>
                <w:rFonts w:hint="eastAsia" w:ascii="宋体" w:hAnsi="宋体"/>
                <w:sz w:val="21"/>
                <w:szCs w:val="21"/>
              </w:rPr>
              <w:t>是</w:t>
            </w:r>
          </w:p>
        </w:tc>
      </w:tr>
    </w:tbl>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hint="eastAsia" w:ascii="宋体" w:hAnsi="宋体" w:cs="Courier"/>
          <w:kern w:val="0"/>
          <w:sz w:val="28"/>
          <w:szCs w:val="28"/>
        </w:rPr>
      </w:pPr>
    </w:p>
    <w:p>
      <w:pPr>
        <w:pStyle w:val="3"/>
        <w:ind w:firstLine="0" w:firstLineChars="0"/>
        <w:jc w:val="center"/>
        <w:outlineLvl w:val="1"/>
        <w:rPr>
          <w:rFonts w:ascii="宋体" w:hAnsi="宋体" w:cs="Courier"/>
          <w:kern w:val="0"/>
          <w:sz w:val="28"/>
          <w:szCs w:val="28"/>
        </w:rPr>
      </w:pPr>
    </w:p>
    <w:p>
      <w:pPr>
        <w:rPr>
          <w:rFonts w:ascii="仿宋_GB2312" w:hAnsi="仿宋_GB2312" w:eastAsia="仿宋_GB2312" w:cs="仿宋_GB2312"/>
          <w:b/>
          <w:color w:val="FF0000"/>
          <w:spacing w:val="-4"/>
          <w:sz w:val="32"/>
          <w:szCs w:val="32"/>
          <w:highlight w:val="yellow"/>
          <w:u w:val="single"/>
        </w:rPr>
        <w:sectPr>
          <w:pgSz w:w="16838" w:h="11906" w:orient="landscape"/>
          <w:pgMar w:top="1418" w:right="567" w:bottom="1418" w:left="567" w:header="851" w:footer="992" w:gutter="0"/>
          <w:cols w:space="425" w:num="1"/>
          <w:docGrid w:type="lines" w:linePitch="312" w:charSpace="0"/>
        </w:sectPr>
      </w:pPr>
    </w:p>
    <w:p>
      <w:pPr>
        <w:rPr>
          <w:rFonts w:ascii="仿宋_GB2312" w:eastAsia="仿宋_GB2312"/>
          <w:kern w:val="0"/>
          <w:sz w:val="32"/>
          <w:szCs w:val="32"/>
          <w:lang w:val="zh-CN"/>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w:t>
      </w:r>
      <w:r>
        <w:rPr>
          <w:rFonts w:hint="eastAsia" w:ascii="仿宋_GB2312" w:eastAsia="仿宋_GB2312"/>
          <w:kern w:val="0"/>
          <w:sz w:val="32"/>
          <w:szCs w:val="32"/>
          <w:lang w:val="zh-CN"/>
        </w:rPr>
        <w:t>主要完成人情况</w:t>
      </w:r>
    </w:p>
    <w:tbl>
      <w:tblPr>
        <w:tblStyle w:val="8"/>
        <w:tblW w:w="94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456"/>
        <w:gridCol w:w="728"/>
        <w:gridCol w:w="943"/>
        <w:gridCol w:w="943"/>
        <w:gridCol w:w="943"/>
        <w:gridCol w:w="4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2" w:type="dxa"/>
            <w:vAlign w:val="center"/>
          </w:tcPr>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姓名</w:t>
            </w:r>
          </w:p>
        </w:tc>
        <w:tc>
          <w:tcPr>
            <w:tcW w:w="456" w:type="dxa"/>
            <w:vAlign w:val="center"/>
          </w:tcPr>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排名</w:t>
            </w:r>
          </w:p>
        </w:tc>
        <w:tc>
          <w:tcPr>
            <w:tcW w:w="728" w:type="dxa"/>
            <w:vAlign w:val="center"/>
          </w:tcPr>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行政</w:t>
            </w:r>
          </w:p>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职务</w:t>
            </w:r>
          </w:p>
        </w:tc>
        <w:tc>
          <w:tcPr>
            <w:tcW w:w="943" w:type="dxa"/>
            <w:vAlign w:val="center"/>
          </w:tcPr>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技术</w:t>
            </w:r>
          </w:p>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职称</w:t>
            </w:r>
          </w:p>
        </w:tc>
        <w:tc>
          <w:tcPr>
            <w:tcW w:w="943" w:type="dxa"/>
            <w:vAlign w:val="center"/>
          </w:tcPr>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工作</w:t>
            </w:r>
          </w:p>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单位</w:t>
            </w:r>
          </w:p>
        </w:tc>
        <w:tc>
          <w:tcPr>
            <w:tcW w:w="943" w:type="dxa"/>
            <w:vAlign w:val="center"/>
          </w:tcPr>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完成</w:t>
            </w:r>
          </w:p>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单位</w:t>
            </w:r>
          </w:p>
        </w:tc>
        <w:tc>
          <w:tcPr>
            <w:tcW w:w="4468" w:type="dxa"/>
            <w:vAlign w:val="center"/>
          </w:tcPr>
          <w:p>
            <w:pPr>
              <w:spacing w:line="360" w:lineRule="auto"/>
              <w:jc w:val="center"/>
              <w:rPr>
                <w:rFonts w:ascii="仿宋_GB2312" w:hAnsi="仿宋" w:eastAsia="仿宋_GB2312"/>
                <w:color w:val="000000"/>
                <w:sz w:val="24"/>
                <w:szCs w:val="24"/>
              </w:rPr>
            </w:pPr>
            <w:r>
              <w:rPr>
                <w:rFonts w:hint="eastAsia" w:ascii="仿宋_GB2312" w:hAnsi="仿宋" w:eastAsia="仿宋_GB2312"/>
                <w:color w:val="000000"/>
                <w:sz w:val="24"/>
                <w:szCs w:val="24"/>
              </w:rPr>
              <w:t>对本</w:t>
            </w:r>
            <w:r>
              <w:rPr>
                <w:rFonts w:ascii="仿宋_GB2312" w:hAnsi="仿宋" w:eastAsia="仿宋_GB2312"/>
                <w:color w:val="000000"/>
                <w:sz w:val="24"/>
                <w:szCs w:val="24"/>
              </w:rPr>
              <w:t>项目</w:t>
            </w:r>
            <w:r>
              <w:rPr>
                <w:rFonts w:hint="eastAsia" w:ascii="仿宋_GB2312" w:hAnsi="仿宋" w:eastAsia="仿宋_GB2312"/>
                <w:color w:val="000000"/>
                <w:sz w:val="24"/>
                <w:szCs w:val="24"/>
              </w:rPr>
              <w:t>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2" w:type="dxa"/>
            <w:vAlign w:val="center"/>
          </w:tcPr>
          <w:p>
            <w:pPr>
              <w:spacing w:line="360" w:lineRule="auto"/>
              <w:rPr>
                <w:rFonts w:ascii="宋体"/>
                <w:color w:val="000000"/>
                <w:szCs w:val="21"/>
              </w:rPr>
            </w:pPr>
            <w:r>
              <w:rPr>
                <w:rFonts w:hint="eastAsia" w:ascii="宋体" w:hAnsi="宋体"/>
                <w:color w:val="000000"/>
                <w:szCs w:val="21"/>
              </w:rPr>
              <w:t>何凤琴</w:t>
            </w:r>
          </w:p>
        </w:tc>
        <w:tc>
          <w:tcPr>
            <w:tcW w:w="456" w:type="dxa"/>
            <w:vAlign w:val="center"/>
          </w:tcPr>
          <w:p>
            <w:pPr>
              <w:spacing w:line="360" w:lineRule="auto"/>
              <w:jc w:val="center"/>
              <w:rPr>
                <w:rFonts w:ascii="宋体" w:hAnsi="宋体"/>
                <w:color w:val="000000"/>
                <w:szCs w:val="21"/>
              </w:rPr>
            </w:pPr>
            <w:r>
              <w:rPr>
                <w:rFonts w:ascii="宋体" w:hAnsi="宋体"/>
                <w:color w:val="000000"/>
                <w:szCs w:val="21"/>
              </w:rPr>
              <w:t>1</w:t>
            </w:r>
          </w:p>
        </w:tc>
        <w:tc>
          <w:tcPr>
            <w:tcW w:w="728" w:type="dxa"/>
            <w:vAlign w:val="center"/>
          </w:tcPr>
          <w:p>
            <w:pPr>
              <w:spacing w:line="360" w:lineRule="auto"/>
              <w:jc w:val="center"/>
              <w:rPr>
                <w:rFonts w:ascii="宋体"/>
                <w:color w:val="000000"/>
                <w:szCs w:val="21"/>
              </w:rPr>
            </w:pPr>
            <w:r>
              <w:rPr>
                <w:rFonts w:hint="eastAsia" w:ascii="宋体" w:hAnsi="宋体"/>
                <w:color w:val="000000"/>
                <w:szCs w:val="21"/>
              </w:rPr>
              <w:t>教师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教授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西安文理学院</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西安文理学院</w:t>
            </w:r>
          </w:p>
        </w:tc>
        <w:tc>
          <w:tcPr>
            <w:tcW w:w="4468" w:type="dxa"/>
          </w:tcPr>
          <w:p>
            <w:pPr>
              <w:spacing w:line="400" w:lineRule="exact"/>
              <w:ind w:left="210" w:hanging="210" w:hangingChars="100"/>
              <w:rPr>
                <w:rFonts w:ascii="宋体" w:cs="宋体"/>
                <w:szCs w:val="21"/>
              </w:rPr>
            </w:pPr>
            <w:r>
              <w:rPr>
                <w:rFonts w:ascii="宋体" w:hAnsi="宋体" w:cs="宋体"/>
                <w:szCs w:val="21"/>
              </w:rPr>
              <w:t>1.</w:t>
            </w:r>
            <w:r>
              <w:rPr>
                <w:rFonts w:hint="eastAsia" w:ascii="宋体" w:hAnsi="宋体" w:cs="宋体"/>
                <w:szCs w:val="21"/>
              </w:rPr>
              <w:t>设计实验内容和技术路线，撰写项目申请书，项目合同书，整理项目验收资料，进行项目验收结题汇报。</w:t>
            </w:r>
          </w:p>
          <w:p>
            <w:pPr>
              <w:spacing w:line="400" w:lineRule="exact"/>
              <w:ind w:left="210" w:hanging="210" w:hangingChars="100"/>
              <w:rPr>
                <w:rFonts w:ascii="宋体" w:cs="宋体"/>
                <w:szCs w:val="21"/>
              </w:rPr>
            </w:pPr>
            <w:r>
              <w:rPr>
                <w:rFonts w:ascii="宋体" w:hAnsi="宋体" w:cs="宋体"/>
                <w:szCs w:val="21"/>
              </w:rPr>
              <w:t>2.</w:t>
            </w:r>
            <w:r>
              <w:rPr>
                <w:rFonts w:hint="eastAsia" w:ascii="宋体" w:hAnsi="宋体" w:cs="宋体"/>
                <w:szCs w:val="21"/>
              </w:rPr>
              <w:t>雄激素引起的社会行为包括杀婴行为、攻击行为、交配行为和社会识别行为等</w:t>
            </w:r>
            <w:r>
              <w:rPr>
                <w:rFonts w:ascii="宋体" w:cs="宋体"/>
                <w:szCs w:val="21"/>
              </w:rPr>
              <w:t>,</w:t>
            </w:r>
            <w:r>
              <w:rPr>
                <w:rFonts w:hint="eastAsia" w:ascii="宋体" w:hAnsi="宋体" w:cs="宋体"/>
                <w:szCs w:val="21"/>
              </w:rPr>
              <w:t>雄激素首先引起脑结构的性差</w:t>
            </w:r>
            <w:r>
              <w:rPr>
                <w:rFonts w:ascii="宋体" w:cs="宋体"/>
                <w:szCs w:val="21"/>
              </w:rPr>
              <w:t>,</w:t>
            </w:r>
            <w:r>
              <w:rPr>
                <w:rFonts w:hint="eastAsia" w:ascii="宋体" w:hAnsi="宋体" w:cs="宋体"/>
                <w:szCs w:val="21"/>
              </w:rPr>
              <w:t>是雌雄个体社会行为发生差异的基础。</w:t>
            </w:r>
          </w:p>
          <w:p>
            <w:pPr>
              <w:spacing w:line="400" w:lineRule="exact"/>
              <w:ind w:left="315" w:hanging="315" w:hangingChars="150"/>
              <w:rPr>
                <w:rFonts w:ascii="宋体" w:cs="宋体"/>
                <w:szCs w:val="21"/>
              </w:rPr>
            </w:pPr>
            <w:r>
              <w:rPr>
                <w:rFonts w:ascii="宋体" w:hAnsi="宋体" w:cs="宋体"/>
                <w:szCs w:val="21"/>
              </w:rPr>
              <w:t>3.</w:t>
            </w:r>
            <w:r>
              <w:rPr>
                <w:rFonts w:hint="eastAsia" w:ascii="宋体" w:hAnsi="宋体" w:cs="宋体"/>
                <w:szCs w:val="21"/>
              </w:rPr>
              <w:t>研究神经肽催产素、加压素和社会识别动之间的关系。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2" w:type="dxa"/>
            <w:vAlign w:val="center"/>
          </w:tcPr>
          <w:p>
            <w:pPr>
              <w:spacing w:line="360" w:lineRule="auto"/>
              <w:jc w:val="center"/>
              <w:rPr>
                <w:rFonts w:ascii="宋体"/>
                <w:color w:val="000000"/>
                <w:szCs w:val="21"/>
              </w:rPr>
            </w:pPr>
            <w:r>
              <w:rPr>
                <w:rFonts w:hint="eastAsia" w:ascii="宋体" w:hAnsi="宋体"/>
                <w:color w:val="000000"/>
                <w:szCs w:val="21"/>
              </w:rPr>
              <w:t>邰发道</w:t>
            </w:r>
          </w:p>
        </w:tc>
        <w:tc>
          <w:tcPr>
            <w:tcW w:w="456" w:type="dxa"/>
            <w:vAlign w:val="center"/>
          </w:tcPr>
          <w:p>
            <w:pPr>
              <w:spacing w:line="360" w:lineRule="auto"/>
              <w:jc w:val="center"/>
              <w:rPr>
                <w:rFonts w:ascii="宋体" w:hAnsi="宋体"/>
                <w:color w:val="000000"/>
                <w:szCs w:val="21"/>
              </w:rPr>
            </w:pPr>
            <w:r>
              <w:rPr>
                <w:rFonts w:ascii="宋体" w:hAnsi="宋体"/>
                <w:color w:val="000000"/>
                <w:szCs w:val="21"/>
              </w:rPr>
              <w:t>2</w:t>
            </w:r>
          </w:p>
        </w:tc>
        <w:tc>
          <w:tcPr>
            <w:tcW w:w="728" w:type="dxa"/>
            <w:vAlign w:val="center"/>
          </w:tcPr>
          <w:p>
            <w:pPr>
              <w:spacing w:line="360" w:lineRule="auto"/>
              <w:jc w:val="center"/>
              <w:rPr>
                <w:rFonts w:ascii="宋体"/>
                <w:color w:val="000000"/>
                <w:szCs w:val="21"/>
              </w:rPr>
            </w:pPr>
            <w:r>
              <w:rPr>
                <w:rFonts w:hint="eastAsia" w:ascii="宋体" w:hAnsi="宋体"/>
                <w:color w:val="000000"/>
                <w:szCs w:val="21"/>
              </w:rPr>
              <w:t>教师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教授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陕西师范大学</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陕西师范大学</w:t>
            </w:r>
          </w:p>
        </w:tc>
        <w:tc>
          <w:tcPr>
            <w:tcW w:w="4468" w:type="dxa"/>
          </w:tcPr>
          <w:p>
            <w:pPr>
              <w:autoSpaceDE w:val="0"/>
              <w:autoSpaceDN w:val="0"/>
              <w:adjustRightInd w:val="0"/>
              <w:spacing w:line="400" w:lineRule="exact"/>
              <w:ind w:left="240" w:hanging="240" w:hangingChars="100"/>
              <w:jc w:val="left"/>
              <w:rPr>
                <w:sz w:val="24"/>
              </w:rPr>
            </w:pPr>
            <w:r>
              <w:rPr>
                <w:sz w:val="24"/>
              </w:rPr>
              <w:t>1.</w:t>
            </w:r>
            <w:r>
              <w:rPr>
                <w:rFonts w:hint="eastAsia"/>
                <w:sz w:val="24"/>
              </w:rPr>
              <w:t>对实验设计和技术路线提出建议。</w:t>
            </w:r>
          </w:p>
          <w:p>
            <w:pPr>
              <w:autoSpaceDE w:val="0"/>
              <w:autoSpaceDN w:val="0"/>
              <w:adjustRightInd w:val="0"/>
              <w:spacing w:line="400" w:lineRule="exact"/>
              <w:ind w:left="240" w:hanging="240" w:hangingChars="100"/>
              <w:jc w:val="left"/>
              <w:rPr>
                <w:sz w:val="24"/>
              </w:rPr>
            </w:pPr>
            <w:r>
              <w:rPr>
                <w:sz w:val="24"/>
              </w:rPr>
              <w:t>2.</w:t>
            </w:r>
            <w:r>
              <w:rPr>
                <w:rFonts w:hint="eastAsia"/>
                <w:sz w:val="24"/>
              </w:rPr>
              <w:t>研究性激素及其受体和社会交往行为的关系发现：不同婚配制度田鼠的社会行为，可能与雌、雄激素受体在不同脑区发生差异性变化有关。权威论文：棕色田鼠和沼泽田鼠雄性社会行为与嗅觉相关脑区性激素受体表达之间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2" w:type="dxa"/>
            <w:vAlign w:val="center"/>
          </w:tcPr>
          <w:p>
            <w:pPr>
              <w:spacing w:line="360" w:lineRule="auto"/>
              <w:jc w:val="center"/>
              <w:rPr>
                <w:rFonts w:ascii="宋体" w:hAnsi="宋体"/>
                <w:color w:val="000000"/>
                <w:szCs w:val="21"/>
              </w:rPr>
            </w:pPr>
            <w:r>
              <w:rPr>
                <w:rFonts w:hint="eastAsia" w:ascii="宋体" w:hAnsi="宋体"/>
                <w:color w:val="000000"/>
                <w:szCs w:val="21"/>
              </w:rPr>
              <w:t>方刚</w:t>
            </w:r>
          </w:p>
        </w:tc>
        <w:tc>
          <w:tcPr>
            <w:tcW w:w="456" w:type="dxa"/>
            <w:vAlign w:val="center"/>
          </w:tcPr>
          <w:p>
            <w:pPr>
              <w:spacing w:line="360" w:lineRule="auto"/>
              <w:jc w:val="center"/>
              <w:rPr>
                <w:rFonts w:ascii="宋体" w:hAnsi="宋体"/>
                <w:color w:val="000000"/>
                <w:szCs w:val="21"/>
              </w:rPr>
            </w:pPr>
            <w:r>
              <w:rPr>
                <w:rFonts w:hint="eastAsia" w:ascii="宋体" w:hAnsi="宋体"/>
                <w:color w:val="000000"/>
                <w:szCs w:val="21"/>
              </w:rPr>
              <w:t>4</w:t>
            </w:r>
          </w:p>
        </w:tc>
        <w:tc>
          <w:tcPr>
            <w:tcW w:w="728" w:type="dxa"/>
            <w:vAlign w:val="center"/>
          </w:tcPr>
          <w:p>
            <w:pPr>
              <w:spacing w:line="360" w:lineRule="auto"/>
              <w:jc w:val="center"/>
              <w:rPr>
                <w:rFonts w:ascii="宋体" w:hAnsi="宋体"/>
                <w:color w:val="000000"/>
                <w:szCs w:val="21"/>
              </w:rPr>
            </w:pPr>
            <w:r>
              <w:rPr>
                <w:rFonts w:hint="eastAsia" w:ascii="宋体" w:hAnsi="宋体"/>
                <w:color w:val="000000"/>
                <w:szCs w:val="21"/>
              </w:rPr>
              <w:t>教师</w:t>
            </w:r>
          </w:p>
        </w:tc>
        <w:tc>
          <w:tcPr>
            <w:tcW w:w="943" w:type="dxa"/>
            <w:vAlign w:val="center"/>
          </w:tcPr>
          <w:p>
            <w:pPr>
              <w:spacing w:line="360" w:lineRule="auto"/>
              <w:jc w:val="center"/>
              <w:rPr>
                <w:rFonts w:ascii="宋体" w:hAnsi="宋体"/>
                <w:color w:val="000000"/>
                <w:szCs w:val="21"/>
              </w:rPr>
            </w:pPr>
            <w:r>
              <w:rPr>
                <w:rFonts w:hint="eastAsia" w:ascii="宋体" w:hAnsi="宋体"/>
                <w:color w:val="000000"/>
                <w:szCs w:val="21"/>
              </w:rPr>
              <w:t>教授</w:t>
            </w:r>
          </w:p>
        </w:tc>
        <w:tc>
          <w:tcPr>
            <w:tcW w:w="943" w:type="dxa"/>
            <w:vAlign w:val="center"/>
          </w:tcPr>
          <w:p>
            <w:pPr>
              <w:spacing w:line="360" w:lineRule="auto"/>
              <w:jc w:val="center"/>
              <w:rPr>
                <w:rFonts w:ascii="宋体" w:hAnsi="宋体"/>
                <w:color w:val="000000"/>
                <w:szCs w:val="21"/>
              </w:rPr>
            </w:pPr>
            <w:r>
              <w:rPr>
                <w:rFonts w:hint="eastAsia" w:ascii="宋体" w:hAnsi="宋体"/>
                <w:color w:val="000000"/>
                <w:szCs w:val="21"/>
              </w:rPr>
              <w:t>西安文理学院</w:t>
            </w:r>
          </w:p>
        </w:tc>
        <w:tc>
          <w:tcPr>
            <w:tcW w:w="943" w:type="dxa"/>
            <w:vAlign w:val="center"/>
          </w:tcPr>
          <w:p>
            <w:pPr>
              <w:spacing w:line="360" w:lineRule="auto"/>
              <w:jc w:val="center"/>
              <w:rPr>
                <w:rFonts w:ascii="宋体" w:hAnsi="宋体"/>
                <w:color w:val="000000"/>
                <w:szCs w:val="21"/>
              </w:rPr>
            </w:pPr>
            <w:r>
              <w:rPr>
                <w:rFonts w:hint="eastAsia" w:ascii="宋体" w:hAnsi="宋体"/>
                <w:color w:val="000000"/>
                <w:szCs w:val="21"/>
              </w:rPr>
              <w:t>西安文理学院</w:t>
            </w:r>
          </w:p>
        </w:tc>
        <w:tc>
          <w:tcPr>
            <w:tcW w:w="4468" w:type="dxa"/>
          </w:tcPr>
          <w:p>
            <w:pPr>
              <w:pStyle w:val="16"/>
              <w:autoSpaceDE w:val="0"/>
              <w:autoSpaceDN w:val="0"/>
              <w:adjustRightInd w:val="0"/>
              <w:spacing w:line="400" w:lineRule="exact"/>
              <w:ind w:firstLine="0" w:firstLineChars="0"/>
              <w:jc w:val="left"/>
              <w:rPr>
                <w:rFonts w:ascii="宋体" w:hAnsi="宋体" w:cs="宋体"/>
                <w:kern w:val="0"/>
                <w:szCs w:val="21"/>
              </w:rPr>
            </w:pPr>
            <w:r>
              <w:rPr>
                <w:rFonts w:hint="eastAsia" w:ascii="宋体" w:hAnsi="宋体" w:cs="宋体"/>
                <w:kern w:val="0"/>
                <w:szCs w:val="21"/>
              </w:rPr>
              <w:t>1.分析试验数据</w:t>
            </w:r>
            <w:r>
              <w:rPr>
                <w:rFonts w:hint="eastAsia" w:ascii="宋体" w:hAnsi="宋体"/>
                <w:szCs w:val="21"/>
              </w:rPr>
              <w:t>和</w:t>
            </w:r>
            <w:r>
              <w:rPr>
                <w:rFonts w:hint="eastAsia" w:ascii="宋体" w:hAnsi="宋体" w:cs="宋体"/>
                <w:kern w:val="0"/>
                <w:szCs w:val="21"/>
              </w:rPr>
              <w:t>基因甲基化分析</w:t>
            </w:r>
          </w:p>
          <w:p>
            <w:pPr>
              <w:pStyle w:val="16"/>
              <w:autoSpaceDE w:val="0"/>
              <w:autoSpaceDN w:val="0"/>
              <w:adjustRightInd w:val="0"/>
              <w:spacing w:line="400" w:lineRule="exact"/>
              <w:ind w:firstLine="0" w:firstLineChars="0"/>
              <w:jc w:val="left"/>
              <w:rPr>
                <w:rFonts w:ascii="宋体" w:hAnsi="宋体" w:cs="宋体"/>
                <w:szCs w:val="21"/>
              </w:rPr>
            </w:pPr>
            <w:r>
              <w:rPr>
                <w:rFonts w:hint="eastAsia" w:ascii="宋体" w:hAnsi="宋体" w:cs="宋体"/>
                <w:szCs w:val="21"/>
              </w:rPr>
              <w:t>2.研究发现成年个体的情绪变化，与早期的环境因素及血清E2、T水平、ERα-IRs 和AR-IRs在脑区分布发生变化有关。</w:t>
            </w:r>
          </w:p>
          <w:p>
            <w:pPr>
              <w:pStyle w:val="16"/>
              <w:autoSpaceDE w:val="0"/>
              <w:autoSpaceDN w:val="0"/>
              <w:adjustRightInd w:val="0"/>
              <w:spacing w:line="400" w:lineRule="exact"/>
              <w:ind w:firstLine="0" w:firstLineChars="0"/>
              <w:jc w:val="left"/>
              <w:rPr>
                <w:rFonts w:ascii="宋体" w:hAnsi="宋体" w:cs="ËÎÌå"/>
                <w:kern w:val="0"/>
                <w:szCs w:val="21"/>
              </w:rPr>
            </w:pPr>
            <w:r>
              <w:rPr>
                <w:rFonts w:hint="eastAsia" w:ascii="宋体" w:hAnsi="宋体" w:cs="宋体"/>
                <w:szCs w:val="21"/>
              </w:rPr>
              <w:t>3.比较雌激素受体α和β免疫反应在雄性和雌性个体脑区分布，为理解如何通过ERα和ERβ调节动物的社会行为，及雌性和雄性社会行为的差异提供一个重要的神经生理学机制。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2" w:type="dxa"/>
            <w:vAlign w:val="center"/>
          </w:tcPr>
          <w:p>
            <w:pPr>
              <w:spacing w:line="360" w:lineRule="auto"/>
              <w:jc w:val="center"/>
              <w:rPr>
                <w:rFonts w:ascii="宋体"/>
                <w:color w:val="000000"/>
                <w:szCs w:val="21"/>
              </w:rPr>
            </w:pPr>
            <w:r>
              <w:rPr>
                <w:rFonts w:hint="eastAsia" w:ascii="宋体" w:hAnsi="宋体"/>
                <w:color w:val="000000"/>
                <w:szCs w:val="21"/>
              </w:rPr>
              <w:t>王丹</w:t>
            </w:r>
          </w:p>
        </w:tc>
        <w:tc>
          <w:tcPr>
            <w:tcW w:w="456" w:type="dxa"/>
            <w:vAlign w:val="center"/>
          </w:tcPr>
          <w:p>
            <w:pPr>
              <w:spacing w:line="360" w:lineRule="auto"/>
              <w:jc w:val="center"/>
              <w:rPr>
                <w:rFonts w:ascii="宋体" w:hAnsi="宋体"/>
                <w:color w:val="000000"/>
                <w:szCs w:val="21"/>
              </w:rPr>
            </w:pPr>
            <w:r>
              <w:rPr>
                <w:rFonts w:ascii="宋体" w:hAnsi="宋体"/>
                <w:color w:val="000000"/>
                <w:szCs w:val="21"/>
              </w:rPr>
              <w:t>3</w:t>
            </w:r>
          </w:p>
        </w:tc>
        <w:tc>
          <w:tcPr>
            <w:tcW w:w="728" w:type="dxa"/>
            <w:vAlign w:val="center"/>
          </w:tcPr>
          <w:p>
            <w:pPr>
              <w:spacing w:line="360" w:lineRule="auto"/>
              <w:jc w:val="center"/>
              <w:rPr>
                <w:rFonts w:ascii="宋体"/>
                <w:color w:val="000000"/>
                <w:szCs w:val="21"/>
              </w:rPr>
            </w:pPr>
            <w:r>
              <w:rPr>
                <w:rFonts w:hint="eastAsia" w:ascii="宋体" w:hAnsi="宋体"/>
                <w:color w:val="000000"/>
                <w:szCs w:val="21"/>
              </w:rPr>
              <w:t>教师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讲师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西安文理学院</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西安文理学院</w:t>
            </w:r>
          </w:p>
        </w:tc>
        <w:tc>
          <w:tcPr>
            <w:tcW w:w="4468" w:type="dxa"/>
          </w:tcPr>
          <w:p>
            <w:pPr>
              <w:pStyle w:val="16"/>
              <w:autoSpaceDE w:val="0"/>
              <w:autoSpaceDN w:val="0"/>
              <w:adjustRightInd w:val="0"/>
              <w:spacing w:line="400" w:lineRule="exact"/>
              <w:ind w:left="210" w:hanging="210" w:hangingChars="100"/>
              <w:jc w:val="left"/>
              <w:rPr>
                <w:rFonts w:ascii="宋体" w:cs="ËÎÌå"/>
                <w:kern w:val="0"/>
                <w:szCs w:val="21"/>
              </w:rPr>
            </w:pPr>
            <w:r>
              <w:rPr>
                <w:rFonts w:ascii="宋体" w:hAnsi="宋体" w:cs="ËÎÌå"/>
                <w:kern w:val="0"/>
                <w:szCs w:val="21"/>
              </w:rPr>
              <w:t>1.</w:t>
            </w:r>
            <w:r>
              <w:rPr>
                <w:rFonts w:hint="eastAsia" w:ascii="宋体" w:hAnsi="宋体" w:cs="ËÎÌå"/>
                <w:kern w:val="0"/>
                <w:szCs w:val="21"/>
              </w:rPr>
              <w:t>对抑郁样动物模型的建立，对神经调节中递质的作用及相互关系，中枢及外周作用的受体途径及其机制分析做过系统的研究。</w:t>
            </w:r>
          </w:p>
          <w:p>
            <w:pPr>
              <w:autoSpaceDE w:val="0"/>
              <w:autoSpaceDN w:val="0"/>
              <w:adjustRightInd w:val="0"/>
              <w:spacing w:line="400" w:lineRule="exact"/>
              <w:ind w:left="210" w:hanging="210" w:hangingChars="100"/>
              <w:jc w:val="left"/>
              <w:rPr>
                <w:rFonts w:ascii="宋体" w:cs="ËÎÌå"/>
                <w:kern w:val="0"/>
                <w:szCs w:val="21"/>
              </w:rPr>
            </w:pPr>
            <w:r>
              <w:rPr>
                <w:rFonts w:ascii="宋体" w:hAnsi="宋体" w:cs="ËÎÌå"/>
                <w:kern w:val="0"/>
                <w:szCs w:val="21"/>
              </w:rPr>
              <w:t>2.</w:t>
            </w:r>
            <w:r>
              <w:rPr>
                <w:rFonts w:hint="eastAsia" w:ascii="宋体" w:hAnsi="宋体" w:cs="ËÎÌå"/>
                <w:kern w:val="0"/>
                <w:szCs w:val="21"/>
              </w:rPr>
              <w:t>通过研究发现慢性不可预见性应激引起海马</w:t>
            </w:r>
            <w:r>
              <w:rPr>
                <w:rFonts w:ascii="宋体" w:hAnsi="宋体" w:cs="ËÎÌå"/>
                <w:kern w:val="0"/>
                <w:szCs w:val="21"/>
              </w:rPr>
              <w:t>BDNF</w:t>
            </w:r>
            <w:r>
              <w:rPr>
                <w:rFonts w:hint="eastAsia" w:ascii="宋体" w:hAnsi="宋体" w:cs="ËÎÌå"/>
                <w:kern w:val="0"/>
                <w:szCs w:val="21"/>
              </w:rPr>
              <w:t>表达下降</w:t>
            </w:r>
            <w:r>
              <w:rPr>
                <w:rFonts w:ascii="宋体" w:hAnsi="宋体" w:cs="ËÎÌå"/>
                <w:kern w:val="0"/>
                <w:szCs w:val="21"/>
              </w:rPr>
              <w:t>,NO</w:t>
            </w:r>
            <w:r>
              <w:rPr>
                <w:rFonts w:hint="eastAsia" w:ascii="宋体" w:hAnsi="宋体" w:cs="ËÎÌå"/>
                <w:kern w:val="0"/>
                <w:szCs w:val="21"/>
              </w:rPr>
              <w:t>过高而导致抑郁</w:t>
            </w:r>
            <w:r>
              <w:rPr>
                <w:rFonts w:ascii="宋体" w:hAnsi="宋体" w:cs="ËÎÌå"/>
                <w:kern w:val="0"/>
                <w:szCs w:val="21"/>
              </w:rPr>
              <w:t>.BDNF</w:t>
            </w:r>
            <w:r>
              <w:rPr>
                <w:rFonts w:hint="eastAsia" w:ascii="宋体" w:hAnsi="宋体" w:cs="ËÎÌå"/>
                <w:kern w:val="0"/>
                <w:szCs w:val="21"/>
              </w:rPr>
              <w:t>对神经元具有保护作用，</w:t>
            </w:r>
            <w:r>
              <w:rPr>
                <w:rFonts w:ascii="宋体" w:hAnsi="宋体" w:cs="ËÎÌå"/>
                <w:kern w:val="0"/>
                <w:szCs w:val="21"/>
              </w:rPr>
              <w:t>BDNF</w:t>
            </w:r>
            <w:r>
              <w:rPr>
                <w:rFonts w:hint="eastAsia" w:ascii="宋体" w:hAnsi="宋体" w:cs="ËÎÌå"/>
                <w:kern w:val="0"/>
                <w:szCs w:val="21"/>
              </w:rPr>
              <w:t>的抗抑郁作用可能是通过抑制</w:t>
            </w:r>
            <w:r>
              <w:rPr>
                <w:rFonts w:ascii="宋体" w:hAnsi="宋体" w:cs="ËÎÌå"/>
                <w:kern w:val="0"/>
                <w:szCs w:val="21"/>
              </w:rPr>
              <w:t>iNOS</w:t>
            </w:r>
            <w:r>
              <w:rPr>
                <w:rFonts w:hint="eastAsia" w:ascii="宋体" w:hAnsi="宋体" w:cs="ËÎÌå"/>
                <w:kern w:val="0"/>
                <w:szCs w:val="21"/>
              </w:rPr>
              <w:t>的表达而起作用的。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2" w:type="dxa"/>
            <w:vAlign w:val="center"/>
          </w:tcPr>
          <w:p>
            <w:pPr>
              <w:spacing w:line="360" w:lineRule="auto"/>
              <w:jc w:val="center"/>
              <w:rPr>
                <w:rFonts w:ascii="宋体"/>
                <w:color w:val="000000"/>
                <w:szCs w:val="21"/>
              </w:rPr>
            </w:pPr>
            <w:r>
              <w:rPr>
                <w:rFonts w:hint="eastAsia" w:ascii="宋体" w:hAnsi="宋体"/>
                <w:color w:val="000000"/>
                <w:szCs w:val="21"/>
              </w:rPr>
              <w:t>张育辉</w:t>
            </w:r>
          </w:p>
        </w:tc>
        <w:tc>
          <w:tcPr>
            <w:tcW w:w="456" w:type="dxa"/>
            <w:vAlign w:val="center"/>
          </w:tcPr>
          <w:p>
            <w:pPr>
              <w:spacing w:line="360" w:lineRule="auto"/>
              <w:jc w:val="center"/>
              <w:rPr>
                <w:rFonts w:ascii="宋体" w:hAnsi="宋体"/>
                <w:color w:val="000000"/>
                <w:szCs w:val="21"/>
              </w:rPr>
            </w:pPr>
            <w:r>
              <w:rPr>
                <w:rFonts w:hint="eastAsia" w:ascii="宋体" w:hAnsi="宋体"/>
                <w:color w:val="000000"/>
                <w:szCs w:val="21"/>
              </w:rPr>
              <w:t>5</w:t>
            </w:r>
          </w:p>
        </w:tc>
        <w:tc>
          <w:tcPr>
            <w:tcW w:w="728" w:type="dxa"/>
            <w:vAlign w:val="center"/>
          </w:tcPr>
          <w:p>
            <w:pPr>
              <w:spacing w:line="360" w:lineRule="auto"/>
              <w:jc w:val="center"/>
              <w:rPr>
                <w:rFonts w:ascii="宋体"/>
                <w:color w:val="000000"/>
                <w:szCs w:val="21"/>
              </w:rPr>
            </w:pPr>
            <w:r>
              <w:rPr>
                <w:rFonts w:hint="eastAsia" w:ascii="宋体" w:hAnsi="宋体"/>
                <w:color w:val="000000"/>
                <w:szCs w:val="21"/>
              </w:rPr>
              <w:t>教师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教授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陕西师范大学</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陕西师范大学</w:t>
            </w:r>
          </w:p>
        </w:tc>
        <w:tc>
          <w:tcPr>
            <w:tcW w:w="4468" w:type="dxa"/>
          </w:tcPr>
          <w:p>
            <w:pPr>
              <w:autoSpaceDE w:val="0"/>
              <w:autoSpaceDN w:val="0"/>
              <w:adjustRightInd w:val="0"/>
              <w:spacing w:line="400" w:lineRule="exact"/>
              <w:ind w:left="240" w:hanging="240" w:hangingChars="100"/>
              <w:jc w:val="left"/>
              <w:rPr>
                <w:rFonts w:ascii="宋体" w:cs="宋体"/>
                <w:kern w:val="0"/>
                <w:sz w:val="24"/>
              </w:rPr>
            </w:pPr>
            <w:r>
              <w:rPr>
                <w:rFonts w:ascii="宋体" w:hAnsi="宋体" w:cs="宋体"/>
                <w:kern w:val="0"/>
                <w:sz w:val="24"/>
              </w:rPr>
              <w:t>1.</w:t>
            </w:r>
            <w:r>
              <w:rPr>
                <w:rFonts w:hint="eastAsia" w:ascii="宋体" w:hAnsi="宋体" w:cs="宋体"/>
                <w:kern w:val="0"/>
                <w:sz w:val="24"/>
              </w:rPr>
              <w:t>研究性激素及其受体和社会交往行为的关系发现：不同婚配制度田鼠的社会行为，可能与雌、雄激素受体在不同脑区发生差异性变化有关。</w:t>
            </w:r>
          </w:p>
          <w:p>
            <w:pPr>
              <w:autoSpaceDE w:val="0"/>
              <w:autoSpaceDN w:val="0"/>
              <w:adjustRightInd w:val="0"/>
              <w:spacing w:line="400" w:lineRule="exact"/>
              <w:ind w:left="240" w:hanging="240" w:hangingChars="100"/>
              <w:jc w:val="left"/>
              <w:rPr>
                <w:rFonts w:ascii="宋体" w:cs="宋体"/>
                <w:kern w:val="0"/>
                <w:sz w:val="24"/>
              </w:rPr>
            </w:pPr>
            <w:r>
              <w:rPr>
                <w:rFonts w:ascii="宋体" w:hAnsi="宋体" w:cs="宋体"/>
                <w:kern w:val="0"/>
                <w:sz w:val="24"/>
              </w:rPr>
              <w:t>2.</w:t>
            </w:r>
            <w:r>
              <w:rPr>
                <w:rFonts w:hint="eastAsia" w:ascii="宋体" w:hAnsi="宋体" w:cs="宋体"/>
                <w:kern w:val="0"/>
                <w:sz w:val="24"/>
              </w:rPr>
              <w:t>指导并研究了黑线仓鼠、棕色田鼠和大林姬鼠犁鼻系统的显微结构。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2" w:type="dxa"/>
            <w:vAlign w:val="center"/>
          </w:tcPr>
          <w:p>
            <w:pPr>
              <w:spacing w:line="360" w:lineRule="auto"/>
              <w:jc w:val="center"/>
              <w:rPr>
                <w:rFonts w:ascii="宋体"/>
                <w:color w:val="000000"/>
                <w:szCs w:val="21"/>
              </w:rPr>
            </w:pPr>
            <w:r>
              <w:rPr>
                <w:rFonts w:hint="eastAsia" w:ascii="宋体" w:hAnsi="宋体"/>
                <w:color w:val="000000"/>
                <w:szCs w:val="21"/>
              </w:rPr>
              <w:t>王波</w:t>
            </w:r>
          </w:p>
        </w:tc>
        <w:tc>
          <w:tcPr>
            <w:tcW w:w="456" w:type="dxa"/>
            <w:vAlign w:val="center"/>
          </w:tcPr>
          <w:p>
            <w:pPr>
              <w:spacing w:line="360" w:lineRule="auto"/>
              <w:jc w:val="center"/>
              <w:rPr>
                <w:rFonts w:ascii="宋体" w:hAnsi="宋体"/>
                <w:color w:val="000000"/>
                <w:szCs w:val="21"/>
              </w:rPr>
            </w:pPr>
            <w:r>
              <w:rPr>
                <w:rFonts w:hint="eastAsia" w:ascii="宋体" w:hAnsi="宋体"/>
                <w:color w:val="000000"/>
                <w:szCs w:val="21"/>
              </w:rPr>
              <w:t>6</w:t>
            </w:r>
          </w:p>
        </w:tc>
        <w:tc>
          <w:tcPr>
            <w:tcW w:w="728" w:type="dxa"/>
            <w:vAlign w:val="center"/>
          </w:tcPr>
          <w:p>
            <w:pPr>
              <w:spacing w:line="360" w:lineRule="auto"/>
              <w:jc w:val="center"/>
              <w:rPr>
                <w:rFonts w:ascii="宋体"/>
                <w:color w:val="000000"/>
                <w:szCs w:val="21"/>
              </w:rPr>
            </w:pPr>
            <w:r>
              <w:rPr>
                <w:rFonts w:hint="eastAsia" w:ascii="宋体" w:hAnsi="宋体"/>
                <w:color w:val="000000"/>
                <w:szCs w:val="21"/>
              </w:rPr>
              <w:t>教师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讲师</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西安文理学院</w:t>
            </w:r>
          </w:p>
        </w:tc>
        <w:tc>
          <w:tcPr>
            <w:tcW w:w="943" w:type="dxa"/>
            <w:vAlign w:val="center"/>
          </w:tcPr>
          <w:p>
            <w:pPr>
              <w:spacing w:line="360" w:lineRule="auto"/>
              <w:jc w:val="center"/>
              <w:rPr>
                <w:rFonts w:ascii="宋体"/>
                <w:color w:val="000000"/>
                <w:szCs w:val="21"/>
              </w:rPr>
            </w:pPr>
            <w:r>
              <w:rPr>
                <w:rFonts w:hint="eastAsia" w:ascii="宋体" w:hAnsi="宋体"/>
                <w:color w:val="000000"/>
                <w:szCs w:val="21"/>
              </w:rPr>
              <w:t>西安文理学院</w:t>
            </w:r>
          </w:p>
        </w:tc>
        <w:tc>
          <w:tcPr>
            <w:tcW w:w="4468" w:type="dxa"/>
          </w:tcPr>
          <w:p>
            <w:pPr>
              <w:autoSpaceDE w:val="0"/>
              <w:autoSpaceDN w:val="0"/>
              <w:adjustRightInd w:val="0"/>
              <w:spacing w:line="400" w:lineRule="exact"/>
              <w:ind w:left="240" w:hanging="240" w:hangingChars="100"/>
              <w:jc w:val="left"/>
              <w:rPr>
                <w:rFonts w:ascii="宋体" w:cs="宋体"/>
                <w:kern w:val="0"/>
                <w:sz w:val="24"/>
              </w:rPr>
            </w:pPr>
            <w:r>
              <w:rPr>
                <w:rFonts w:ascii="宋体" w:hAnsi="宋体" w:cs="宋体"/>
                <w:kern w:val="0"/>
                <w:sz w:val="24"/>
              </w:rPr>
              <w:t>1.</w:t>
            </w:r>
            <w:r>
              <w:rPr>
                <w:rFonts w:hint="eastAsia" w:ascii="宋体" w:hAnsi="宋体" w:cs="宋体"/>
                <w:kern w:val="0"/>
                <w:sz w:val="24"/>
              </w:rPr>
              <w:t>收集、分析、整理资料。</w:t>
            </w:r>
          </w:p>
          <w:p>
            <w:pPr>
              <w:autoSpaceDE w:val="0"/>
              <w:autoSpaceDN w:val="0"/>
              <w:adjustRightInd w:val="0"/>
              <w:spacing w:line="400" w:lineRule="exact"/>
              <w:ind w:left="240" w:hanging="240" w:hangingChars="100"/>
              <w:jc w:val="left"/>
              <w:rPr>
                <w:rFonts w:ascii="宋体" w:cs="宋体"/>
                <w:kern w:val="0"/>
                <w:sz w:val="24"/>
              </w:rPr>
            </w:pPr>
            <w:r>
              <w:rPr>
                <w:rFonts w:ascii="宋体" w:hAnsi="宋体" w:cs="宋体"/>
                <w:kern w:val="0"/>
                <w:sz w:val="24"/>
              </w:rPr>
              <w:t>2.</w:t>
            </w:r>
            <w:r>
              <w:rPr>
                <w:rFonts w:hint="eastAsia" w:ascii="宋体" w:hAnsi="宋体" w:cs="宋体"/>
                <w:kern w:val="0"/>
                <w:sz w:val="24"/>
              </w:rPr>
              <w:t>成年个体的情绪变化，与早期的环境因素有关，血清</w:t>
            </w:r>
            <w:r>
              <w:rPr>
                <w:rFonts w:ascii="宋体" w:hAnsi="宋体" w:cs="宋体"/>
                <w:kern w:val="0"/>
                <w:sz w:val="24"/>
              </w:rPr>
              <w:t>E2</w:t>
            </w:r>
            <w:r>
              <w:rPr>
                <w:rFonts w:hint="eastAsia" w:ascii="宋体" w:hAnsi="宋体" w:cs="宋体"/>
                <w:kern w:val="0"/>
                <w:sz w:val="24"/>
              </w:rPr>
              <w:t>、</w:t>
            </w:r>
            <w:r>
              <w:rPr>
                <w:rFonts w:ascii="宋体" w:hAnsi="宋体" w:cs="宋体"/>
                <w:kern w:val="0"/>
                <w:sz w:val="24"/>
              </w:rPr>
              <w:t xml:space="preserve">T </w:t>
            </w:r>
            <w:r>
              <w:rPr>
                <w:rFonts w:hint="eastAsia" w:ascii="宋体" w:hAnsi="宋体" w:cs="宋体"/>
                <w:kern w:val="0"/>
                <w:sz w:val="24"/>
              </w:rPr>
              <w:t>水平及</w:t>
            </w:r>
            <w:r>
              <w:rPr>
                <w:rFonts w:ascii="宋体" w:hAnsi="宋体" w:cs="宋体"/>
                <w:kern w:val="0"/>
                <w:sz w:val="24"/>
              </w:rPr>
              <w:t>ER</w:t>
            </w:r>
            <w:r>
              <w:rPr>
                <w:rFonts w:hint="eastAsia" w:ascii="宋体" w:hAnsi="宋体" w:cs="宋体"/>
                <w:kern w:val="0"/>
                <w:sz w:val="24"/>
              </w:rPr>
              <w:t>α</w:t>
            </w:r>
            <w:r>
              <w:rPr>
                <w:rFonts w:ascii="宋体" w:hAnsi="宋体" w:cs="宋体"/>
                <w:kern w:val="0"/>
                <w:sz w:val="24"/>
              </w:rPr>
              <w:t xml:space="preserve">-IRs </w:t>
            </w:r>
            <w:r>
              <w:rPr>
                <w:rFonts w:hint="eastAsia" w:ascii="宋体" w:hAnsi="宋体" w:cs="宋体"/>
                <w:kern w:val="0"/>
                <w:sz w:val="24"/>
              </w:rPr>
              <w:t>和</w:t>
            </w:r>
            <w:r>
              <w:rPr>
                <w:rFonts w:ascii="宋体" w:hAnsi="宋体" w:cs="宋体"/>
                <w:kern w:val="0"/>
                <w:sz w:val="24"/>
              </w:rPr>
              <w:t xml:space="preserve">AR-IRs </w:t>
            </w:r>
            <w:r>
              <w:rPr>
                <w:rFonts w:hint="eastAsia" w:ascii="宋体" w:hAnsi="宋体" w:cs="宋体"/>
                <w:kern w:val="0"/>
                <w:sz w:val="24"/>
              </w:rPr>
              <w:t>在脑区分布发生变化，可使与情绪相关的行为发生改变。</w:t>
            </w:r>
          </w:p>
          <w:p>
            <w:pPr>
              <w:autoSpaceDE w:val="0"/>
              <w:autoSpaceDN w:val="0"/>
              <w:adjustRightInd w:val="0"/>
              <w:spacing w:line="400" w:lineRule="exact"/>
              <w:ind w:left="240" w:hanging="240" w:hangingChars="100"/>
              <w:jc w:val="left"/>
              <w:rPr>
                <w:rFonts w:ascii="宋体" w:cs="宋体"/>
                <w:kern w:val="0"/>
                <w:sz w:val="24"/>
              </w:rPr>
            </w:pPr>
            <w:r>
              <w:rPr>
                <w:rFonts w:ascii="宋体" w:hAnsi="宋体" w:cs="宋体"/>
                <w:kern w:val="0"/>
                <w:sz w:val="24"/>
              </w:rPr>
              <w:t>3.</w:t>
            </w:r>
            <w:r>
              <w:rPr>
                <w:rFonts w:hint="eastAsia" w:ascii="宋体" w:hAnsi="宋体" w:cs="宋体"/>
                <w:kern w:val="0"/>
                <w:sz w:val="24"/>
              </w:rPr>
              <w:t>研究了交配行为对雄性棕色田鼠雌激素及雌激素β受体在相关脑区的影响。</w:t>
            </w:r>
          </w:p>
        </w:tc>
      </w:tr>
    </w:tbl>
    <w:p>
      <w:pPr>
        <w:rPr>
          <w:rFonts w:ascii="仿宋_GB2312" w:eastAsia="仿宋_GB2312"/>
          <w:kern w:val="0"/>
          <w:sz w:val="32"/>
          <w:szCs w:val="32"/>
          <w:lang w:val="zh-CN"/>
        </w:rPr>
      </w:pPr>
      <w:r>
        <w:rPr>
          <w:rFonts w:hint="eastAsia" w:ascii="仿宋_GB2312" w:eastAsia="仿宋_GB2312"/>
          <w:kern w:val="0"/>
          <w:sz w:val="32"/>
          <w:szCs w:val="32"/>
          <w:lang w:val="zh-CN"/>
        </w:rPr>
        <w:t>七、主要完成单位情况</w:t>
      </w:r>
    </w:p>
    <w:p>
      <w:pPr>
        <w:ind w:firstLine="640" w:firstLineChars="200"/>
        <w:rPr>
          <w:rFonts w:hint="eastAsia" w:ascii="仿宋_GB2312" w:eastAsia="仿宋_GB2312"/>
          <w:kern w:val="0"/>
          <w:sz w:val="32"/>
          <w:szCs w:val="32"/>
          <w:lang w:val="zh-CN"/>
        </w:rPr>
      </w:pPr>
      <w:r>
        <w:rPr>
          <w:rFonts w:hint="eastAsia" w:ascii="仿宋_GB2312" w:eastAsia="仿宋_GB2312"/>
          <w:kern w:val="0"/>
          <w:sz w:val="32"/>
          <w:szCs w:val="32"/>
          <w:lang w:val="zh-CN"/>
        </w:rPr>
        <w:t>西安文理学院为第一完成单位，主要贡献：</w:t>
      </w:r>
      <w:r>
        <w:rPr>
          <w:rFonts w:ascii="仿宋_GB2312" w:eastAsia="仿宋_GB2312"/>
          <w:kern w:val="0"/>
          <w:sz w:val="32"/>
          <w:szCs w:val="32"/>
          <w:lang w:val="zh-CN"/>
        </w:rPr>
        <w:t>1.</w:t>
      </w:r>
      <w:r>
        <w:rPr>
          <w:rFonts w:hint="eastAsia" w:ascii="仿宋_GB2312" w:eastAsia="仿宋_GB2312"/>
          <w:kern w:val="0"/>
          <w:sz w:val="32"/>
          <w:szCs w:val="32"/>
          <w:lang w:val="zh-CN"/>
        </w:rPr>
        <w:t>为项目的完成提供必要的资金资助。</w:t>
      </w:r>
      <w:r>
        <w:rPr>
          <w:rFonts w:ascii="仿宋_GB2312" w:eastAsia="仿宋_GB2312"/>
          <w:kern w:val="0"/>
          <w:sz w:val="32"/>
          <w:szCs w:val="32"/>
          <w:lang w:val="zh-CN"/>
        </w:rPr>
        <w:t xml:space="preserve"> 2.</w:t>
      </w:r>
      <w:r>
        <w:rPr>
          <w:rFonts w:hint="eastAsia" w:ascii="仿宋_GB2312" w:eastAsia="仿宋_GB2312"/>
          <w:kern w:val="0"/>
          <w:sz w:val="32"/>
          <w:szCs w:val="32"/>
          <w:lang w:val="zh-CN"/>
        </w:rPr>
        <w:t>保证项目完成提供必要的实验仪器和实验药品的支持。</w:t>
      </w:r>
      <w:r>
        <w:rPr>
          <w:rFonts w:ascii="仿宋_GB2312" w:eastAsia="仿宋_GB2312"/>
          <w:kern w:val="0"/>
          <w:sz w:val="32"/>
          <w:szCs w:val="32"/>
          <w:lang w:val="zh-CN"/>
        </w:rPr>
        <w:t>3.</w:t>
      </w:r>
      <w:r>
        <w:rPr>
          <w:rFonts w:hint="eastAsia" w:ascii="仿宋_GB2312" w:eastAsia="仿宋_GB2312"/>
          <w:kern w:val="0"/>
          <w:sz w:val="32"/>
          <w:szCs w:val="32"/>
          <w:lang w:val="zh-CN"/>
        </w:rPr>
        <w:t>协调研究人员教学和科研的关系，保证实验的顺利完成。</w:t>
      </w:r>
    </w:p>
    <w:p>
      <w:pPr>
        <w:ind w:firstLine="640" w:firstLineChars="200"/>
        <w:rPr>
          <w:rFonts w:hint="eastAsia" w:ascii="仿宋_GB2312" w:eastAsia="仿宋_GB2312"/>
          <w:kern w:val="0"/>
          <w:sz w:val="32"/>
          <w:szCs w:val="32"/>
          <w:lang w:val="zh-CN"/>
        </w:rPr>
      </w:pPr>
      <w:r>
        <w:rPr>
          <w:rFonts w:hint="eastAsia" w:ascii="仿宋_GB2312" w:eastAsia="仿宋_GB2312"/>
          <w:kern w:val="0"/>
          <w:sz w:val="32"/>
          <w:szCs w:val="32"/>
          <w:lang w:val="zh-CN"/>
        </w:rPr>
        <w:t>陕西师范大学为第二完成单位，主要贡献：</w:t>
      </w:r>
      <w:r>
        <w:rPr>
          <w:rFonts w:ascii="仿宋_GB2312" w:eastAsia="仿宋_GB2312"/>
          <w:kern w:val="0"/>
          <w:sz w:val="32"/>
          <w:szCs w:val="32"/>
          <w:lang w:val="zh-CN"/>
        </w:rPr>
        <w:t>1.</w:t>
      </w:r>
      <w:r>
        <w:rPr>
          <w:rFonts w:hint="eastAsia" w:ascii="仿宋_GB2312" w:eastAsia="仿宋_GB2312"/>
          <w:kern w:val="0"/>
          <w:sz w:val="32"/>
          <w:szCs w:val="32"/>
          <w:lang w:val="zh-CN"/>
        </w:rPr>
        <w:t>为本项目内容的可行性提供技术依据。</w:t>
      </w:r>
      <w:r>
        <w:rPr>
          <w:rFonts w:ascii="仿宋_GB2312" w:eastAsia="仿宋_GB2312"/>
          <w:kern w:val="0"/>
          <w:sz w:val="32"/>
          <w:szCs w:val="32"/>
          <w:lang w:val="zh-CN"/>
        </w:rPr>
        <w:t xml:space="preserve"> 2.</w:t>
      </w:r>
      <w:r>
        <w:rPr>
          <w:rFonts w:hint="eastAsia" w:ascii="仿宋_GB2312" w:eastAsia="仿宋_GB2312"/>
          <w:kern w:val="0"/>
          <w:sz w:val="32"/>
          <w:szCs w:val="32"/>
          <w:lang w:val="zh-CN"/>
        </w:rPr>
        <w:t>项目研发过程中，组织、协调研发人员教学和科研的冲突，为项目的完成提供有利保障。</w:t>
      </w:r>
    </w:p>
    <w:p>
      <w:pPr>
        <w:rPr>
          <w:rFonts w:ascii="仿宋_GB2312" w:eastAsia="仿宋_GB2312"/>
          <w:kern w:val="0"/>
          <w:sz w:val="32"/>
          <w:szCs w:val="32"/>
          <w:lang w:val="zh-CN"/>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w:t>
      </w:r>
      <w:r>
        <w:rPr>
          <w:rFonts w:hint="eastAsia" w:ascii="仿宋_GB2312" w:eastAsia="仿宋_GB2312"/>
          <w:kern w:val="0"/>
          <w:sz w:val="32"/>
          <w:szCs w:val="32"/>
          <w:lang w:val="zh-CN"/>
        </w:rPr>
        <w:t>完成人</w:t>
      </w:r>
      <w:r>
        <w:rPr>
          <w:rFonts w:ascii="仿宋_GB2312" w:eastAsia="仿宋_GB2312"/>
          <w:kern w:val="0"/>
          <w:sz w:val="32"/>
          <w:szCs w:val="32"/>
          <w:lang w:val="zh-CN"/>
        </w:rPr>
        <w:t>合作关系说明</w:t>
      </w:r>
    </w:p>
    <w:p>
      <w:pPr>
        <w:ind w:firstLine="560" w:firstLineChars="200"/>
        <w:rPr>
          <w:rFonts w:ascii="仿宋_GB2312" w:eastAsia="仿宋_GB2312"/>
          <w:kern w:val="0"/>
          <w:sz w:val="28"/>
          <w:szCs w:val="28"/>
          <w:lang w:val="zh-CN"/>
        </w:rPr>
      </w:pPr>
      <w:r>
        <w:rPr>
          <w:rFonts w:hint="eastAsia" w:ascii="仿宋_GB2312" w:eastAsia="仿宋_GB2312"/>
          <w:kern w:val="0"/>
          <w:sz w:val="28"/>
          <w:szCs w:val="28"/>
          <w:lang w:val="zh-CN"/>
        </w:rPr>
        <w:t>完成人何凤琴</w:t>
      </w:r>
      <w:r>
        <w:rPr>
          <w:rFonts w:ascii="仿宋_GB2312" w:eastAsia="仿宋_GB2312"/>
          <w:kern w:val="0"/>
          <w:sz w:val="28"/>
          <w:szCs w:val="28"/>
          <w:lang w:val="zh-CN"/>
        </w:rPr>
        <w:t>/1</w:t>
      </w:r>
      <w:r>
        <w:rPr>
          <w:rFonts w:hint="eastAsia" w:ascii="仿宋_GB2312" w:eastAsia="仿宋_GB2312"/>
          <w:kern w:val="0"/>
          <w:sz w:val="28"/>
          <w:szCs w:val="28"/>
          <w:lang w:val="zh-CN"/>
        </w:rPr>
        <w:t>、方刚</w:t>
      </w:r>
      <w:r>
        <w:rPr>
          <w:rFonts w:ascii="仿宋_GB2312" w:eastAsia="仿宋_GB2312"/>
          <w:kern w:val="0"/>
          <w:sz w:val="28"/>
          <w:szCs w:val="28"/>
          <w:lang w:val="zh-CN"/>
        </w:rPr>
        <w:t>/</w:t>
      </w:r>
      <w:r>
        <w:rPr>
          <w:rFonts w:hint="eastAsia" w:ascii="仿宋_GB2312" w:eastAsia="仿宋_GB2312"/>
          <w:kern w:val="0"/>
          <w:sz w:val="28"/>
          <w:szCs w:val="28"/>
          <w:lang w:val="zh-CN"/>
        </w:rPr>
        <w:t>3、王丹/4和王波</w:t>
      </w:r>
      <w:r>
        <w:rPr>
          <w:rFonts w:ascii="仿宋_GB2312" w:eastAsia="仿宋_GB2312"/>
          <w:kern w:val="0"/>
          <w:sz w:val="28"/>
          <w:szCs w:val="28"/>
          <w:lang w:val="zh-CN"/>
        </w:rPr>
        <w:t>/</w:t>
      </w:r>
      <w:r>
        <w:rPr>
          <w:rFonts w:hint="eastAsia" w:ascii="仿宋_GB2312" w:eastAsia="仿宋_GB2312"/>
          <w:kern w:val="0"/>
          <w:sz w:val="28"/>
          <w:szCs w:val="28"/>
          <w:lang w:val="zh-CN"/>
        </w:rPr>
        <w:t>6为西安文理学院教师，是院级重点实验室基因工程实验室核心成员，根据专业特长和依托的研究平台，在项目进行中长期合作，共同探索，开发研究。何凤琴</w:t>
      </w:r>
      <w:r>
        <w:rPr>
          <w:rFonts w:ascii="仿宋_GB2312" w:eastAsia="仿宋_GB2312"/>
          <w:kern w:val="0"/>
          <w:sz w:val="28"/>
          <w:szCs w:val="28"/>
          <w:lang w:val="zh-CN"/>
        </w:rPr>
        <w:t>/1</w:t>
      </w:r>
      <w:r>
        <w:rPr>
          <w:rFonts w:hint="eastAsia" w:ascii="仿宋_GB2312" w:eastAsia="仿宋_GB2312"/>
          <w:kern w:val="0"/>
          <w:sz w:val="28"/>
          <w:szCs w:val="28"/>
          <w:lang w:val="zh-CN"/>
        </w:rPr>
        <w:t>为本项目负责人，是</w:t>
      </w:r>
      <w:r>
        <w:rPr>
          <w:rFonts w:ascii="仿宋_GB2312" w:eastAsia="仿宋_GB2312"/>
          <w:kern w:val="0"/>
          <w:sz w:val="28"/>
          <w:szCs w:val="28"/>
          <w:lang w:val="zh-CN"/>
        </w:rPr>
        <w:t>2017</w:t>
      </w:r>
      <w:r>
        <w:rPr>
          <w:rFonts w:hint="eastAsia" w:ascii="仿宋_GB2312" w:eastAsia="仿宋_GB2312"/>
          <w:kern w:val="0"/>
          <w:sz w:val="28"/>
          <w:szCs w:val="28"/>
          <w:lang w:val="zh-CN"/>
        </w:rPr>
        <w:t>年陕西省高校科学技术奖二等奖项目</w:t>
      </w:r>
      <w:r>
        <w:rPr>
          <w:rFonts w:ascii="仿宋_GB2312" w:eastAsia="仿宋_GB2312"/>
          <w:kern w:val="0"/>
          <w:sz w:val="28"/>
          <w:szCs w:val="28"/>
          <w:lang w:val="zh-CN"/>
        </w:rPr>
        <w:t>“</w:t>
      </w:r>
      <w:r>
        <w:rPr>
          <w:rFonts w:hint="eastAsia" w:ascii="仿宋_GB2312" w:eastAsia="仿宋_GB2312"/>
          <w:kern w:val="0"/>
          <w:sz w:val="28"/>
          <w:szCs w:val="28"/>
          <w:lang w:val="zh-CN"/>
        </w:rPr>
        <w:t>固醇类激素受体和神经肽在社会行为及精神障碍中的作用</w:t>
      </w:r>
      <w:r>
        <w:rPr>
          <w:rFonts w:ascii="仿宋_GB2312" w:eastAsia="仿宋_GB2312"/>
          <w:kern w:val="0"/>
          <w:sz w:val="28"/>
          <w:szCs w:val="28"/>
          <w:lang w:val="zh-CN"/>
        </w:rPr>
        <w:t>”</w:t>
      </w:r>
      <w:r>
        <w:rPr>
          <w:rFonts w:hint="eastAsia" w:ascii="仿宋_GB2312" w:eastAsia="仿宋_GB2312"/>
          <w:kern w:val="0"/>
          <w:sz w:val="28"/>
          <w:szCs w:val="28"/>
          <w:lang w:val="zh-CN"/>
        </w:rPr>
        <w:t>第</w:t>
      </w:r>
      <w:r>
        <w:rPr>
          <w:rFonts w:ascii="仿宋_GB2312" w:eastAsia="仿宋_GB2312"/>
          <w:kern w:val="0"/>
          <w:sz w:val="28"/>
          <w:szCs w:val="28"/>
          <w:lang w:val="zh-CN"/>
        </w:rPr>
        <w:t>1</w:t>
      </w:r>
      <w:r>
        <w:rPr>
          <w:rFonts w:hint="eastAsia" w:ascii="仿宋_GB2312" w:eastAsia="仿宋_GB2312"/>
          <w:kern w:val="0"/>
          <w:sz w:val="28"/>
          <w:szCs w:val="28"/>
          <w:lang w:val="zh-CN"/>
        </w:rPr>
        <w:t>完成人，作为第一或通讯作者共同合作发表论文</w:t>
      </w:r>
      <w:r>
        <w:rPr>
          <w:rFonts w:ascii="仿宋_GB2312" w:eastAsia="仿宋_GB2312"/>
          <w:kern w:val="0"/>
          <w:sz w:val="28"/>
          <w:szCs w:val="28"/>
          <w:lang w:val="zh-CN"/>
        </w:rPr>
        <w:t>1</w:t>
      </w:r>
      <w:r>
        <w:rPr>
          <w:rFonts w:hint="eastAsia" w:ascii="仿宋_GB2312" w:eastAsia="仿宋_GB2312"/>
          <w:kern w:val="0"/>
          <w:sz w:val="28"/>
          <w:szCs w:val="28"/>
          <w:lang w:val="zh-CN"/>
        </w:rPr>
        <w:t>2篇。方刚/3作为第一或通讯作者独著或合作完成12篇论文。王丹</w:t>
      </w:r>
      <w:r>
        <w:rPr>
          <w:rFonts w:ascii="仿宋_GB2312" w:eastAsia="仿宋_GB2312"/>
          <w:kern w:val="0"/>
          <w:sz w:val="28"/>
          <w:szCs w:val="28"/>
          <w:lang w:val="zh-CN"/>
        </w:rPr>
        <w:t>/</w:t>
      </w:r>
      <w:r>
        <w:rPr>
          <w:rFonts w:hint="eastAsia" w:ascii="仿宋_GB2312" w:eastAsia="仿宋_GB2312"/>
          <w:kern w:val="0"/>
          <w:sz w:val="28"/>
          <w:szCs w:val="28"/>
          <w:lang w:val="zh-CN"/>
        </w:rPr>
        <w:t>4作为第一或通讯作者独著或合作完成</w:t>
      </w:r>
      <w:r>
        <w:rPr>
          <w:rFonts w:ascii="仿宋_GB2312" w:eastAsia="仿宋_GB2312"/>
          <w:kern w:val="0"/>
          <w:sz w:val="28"/>
          <w:szCs w:val="28"/>
          <w:lang w:val="zh-CN"/>
        </w:rPr>
        <w:t>5</w:t>
      </w:r>
      <w:r>
        <w:rPr>
          <w:rFonts w:hint="eastAsia" w:ascii="仿宋_GB2312" w:eastAsia="仿宋_GB2312"/>
          <w:kern w:val="0"/>
          <w:sz w:val="28"/>
          <w:szCs w:val="28"/>
          <w:lang w:val="zh-CN"/>
        </w:rPr>
        <w:t>篇论文。王波</w:t>
      </w:r>
      <w:r>
        <w:rPr>
          <w:rFonts w:ascii="仿宋_GB2312" w:eastAsia="仿宋_GB2312"/>
          <w:kern w:val="0"/>
          <w:sz w:val="28"/>
          <w:szCs w:val="28"/>
          <w:lang w:val="zh-CN"/>
        </w:rPr>
        <w:t>/</w:t>
      </w:r>
      <w:r>
        <w:rPr>
          <w:rFonts w:hint="eastAsia" w:ascii="仿宋_GB2312" w:eastAsia="仿宋_GB2312"/>
          <w:kern w:val="0"/>
          <w:sz w:val="28"/>
          <w:szCs w:val="28"/>
          <w:lang w:val="zh-CN"/>
        </w:rPr>
        <w:t>6是</w:t>
      </w:r>
      <w:r>
        <w:rPr>
          <w:rFonts w:ascii="仿宋_GB2312" w:eastAsia="仿宋_GB2312"/>
          <w:kern w:val="0"/>
          <w:sz w:val="28"/>
          <w:szCs w:val="28"/>
          <w:lang w:val="zh-CN"/>
        </w:rPr>
        <w:t>2017</w:t>
      </w:r>
      <w:r>
        <w:rPr>
          <w:rFonts w:hint="eastAsia" w:ascii="仿宋_GB2312" w:eastAsia="仿宋_GB2312"/>
          <w:kern w:val="0"/>
          <w:sz w:val="28"/>
          <w:szCs w:val="28"/>
          <w:lang w:val="zh-CN"/>
        </w:rPr>
        <w:t>年陕西省高校科学技术奖二等奖项目</w:t>
      </w:r>
      <w:r>
        <w:rPr>
          <w:rFonts w:ascii="仿宋_GB2312" w:eastAsia="仿宋_GB2312"/>
          <w:kern w:val="0"/>
          <w:sz w:val="28"/>
          <w:szCs w:val="28"/>
          <w:lang w:val="zh-CN"/>
        </w:rPr>
        <w:t>“</w:t>
      </w:r>
      <w:r>
        <w:rPr>
          <w:rFonts w:hint="eastAsia" w:ascii="仿宋_GB2312" w:eastAsia="仿宋_GB2312"/>
          <w:kern w:val="0"/>
          <w:sz w:val="28"/>
          <w:szCs w:val="28"/>
          <w:lang w:val="zh-CN"/>
        </w:rPr>
        <w:t>固醇类激素受体和神经肽在社会行为及精神障碍中的作用</w:t>
      </w:r>
      <w:r>
        <w:rPr>
          <w:rFonts w:ascii="仿宋_GB2312" w:eastAsia="仿宋_GB2312"/>
          <w:kern w:val="0"/>
          <w:sz w:val="28"/>
          <w:szCs w:val="28"/>
          <w:lang w:val="zh-CN"/>
        </w:rPr>
        <w:t>”</w:t>
      </w:r>
      <w:r>
        <w:rPr>
          <w:rFonts w:hint="eastAsia" w:ascii="仿宋_GB2312" w:eastAsia="仿宋_GB2312"/>
          <w:kern w:val="0"/>
          <w:sz w:val="28"/>
          <w:szCs w:val="28"/>
          <w:lang w:val="zh-CN"/>
        </w:rPr>
        <w:t>第</w:t>
      </w:r>
      <w:r>
        <w:rPr>
          <w:rFonts w:ascii="仿宋_GB2312" w:eastAsia="仿宋_GB2312"/>
          <w:kern w:val="0"/>
          <w:sz w:val="28"/>
          <w:szCs w:val="28"/>
          <w:lang w:val="zh-CN"/>
        </w:rPr>
        <w:t>4</w:t>
      </w:r>
      <w:r>
        <w:rPr>
          <w:rFonts w:hint="eastAsia" w:ascii="仿宋_GB2312" w:eastAsia="仿宋_GB2312"/>
          <w:kern w:val="0"/>
          <w:sz w:val="28"/>
          <w:szCs w:val="28"/>
          <w:lang w:val="zh-CN"/>
        </w:rPr>
        <w:t>完成人，作为共同合作发表论文</w:t>
      </w:r>
      <w:r>
        <w:rPr>
          <w:rFonts w:ascii="仿宋_GB2312" w:eastAsia="仿宋_GB2312"/>
          <w:kern w:val="0"/>
          <w:sz w:val="28"/>
          <w:szCs w:val="28"/>
          <w:lang w:val="zh-CN"/>
        </w:rPr>
        <w:t>3</w:t>
      </w:r>
      <w:r>
        <w:rPr>
          <w:rFonts w:hint="eastAsia" w:ascii="仿宋_GB2312" w:eastAsia="仿宋_GB2312"/>
          <w:kern w:val="0"/>
          <w:sz w:val="28"/>
          <w:szCs w:val="28"/>
          <w:lang w:val="zh-CN"/>
        </w:rPr>
        <w:t>篇。完成人邰发道</w:t>
      </w:r>
      <w:r>
        <w:rPr>
          <w:rFonts w:ascii="仿宋_GB2312" w:eastAsia="仿宋_GB2312"/>
          <w:kern w:val="0"/>
          <w:sz w:val="28"/>
          <w:szCs w:val="28"/>
          <w:lang w:val="zh-CN"/>
        </w:rPr>
        <w:t>/2</w:t>
      </w:r>
      <w:r>
        <w:rPr>
          <w:rFonts w:hint="eastAsia" w:ascii="仿宋_GB2312" w:eastAsia="仿宋_GB2312"/>
          <w:kern w:val="0"/>
          <w:sz w:val="28"/>
          <w:szCs w:val="28"/>
          <w:lang w:val="zh-CN"/>
        </w:rPr>
        <w:t>、张育辉</w:t>
      </w:r>
      <w:r>
        <w:rPr>
          <w:rFonts w:ascii="仿宋_GB2312" w:eastAsia="仿宋_GB2312"/>
          <w:kern w:val="0"/>
          <w:sz w:val="28"/>
          <w:szCs w:val="28"/>
          <w:lang w:val="zh-CN"/>
        </w:rPr>
        <w:t>/</w:t>
      </w:r>
      <w:r>
        <w:rPr>
          <w:rFonts w:hint="eastAsia" w:ascii="仿宋_GB2312" w:eastAsia="仿宋_GB2312"/>
          <w:kern w:val="0"/>
          <w:sz w:val="28"/>
          <w:szCs w:val="28"/>
          <w:lang w:val="zh-CN"/>
        </w:rPr>
        <w:t>5为陕西师范大学教师，与西安文理学院团队长期合作，联合攻关，在探究不同婚配制田鼠社会行为与嗅觉相关脑区性激素受体表达之间的关系，不同婚配制度犁鼻系统的结构与社会行为的关系提供了理论基础。邰发道和张育辉分别是陕西省高校科学技术奖二等奖项目</w:t>
      </w:r>
      <w:r>
        <w:rPr>
          <w:rFonts w:ascii="仿宋_GB2312" w:eastAsia="仿宋_GB2312"/>
          <w:kern w:val="0"/>
          <w:sz w:val="28"/>
          <w:szCs w:val="28"/>
          <w:lang w:val="zh-CN"/>
        </w:rPr>
        <w:t>“</w:t>
      </w:r>
      <w:r>
        <w:rPr>
          <w:rFonts w:hint="eastAsia" w:ascii="仿宋_GB2312" w:eastAsia="仿宋_GB2312"/>
          <w:kern w:val="0"/>
          <w:sz w:val="28"/>
          <w:szCs w:val="28"/>
          <w:lang w:val="zh-CN"/>
        </w:rPr>
        <w:t>固醇类激素受体和神经肽在社会行为及精神障碍中的作用</w:t>
      </w:r>
      <w:r>
        <w:rPr>
          <w:rFonts w:ascii="仿宋_GB2312" w:eastAsia="仿宋_GB2312"/>
          <w:kern w:val="0"/>
          <w:sz w:val="28"/>
          <w:szCs w:val="28"/>
          <w:lang w:val="zh-CN"/>
        </w:rPr>
        <w:t>”</w:t>
      </w:r>
      <w:r>
        <w:rPr>
          <w:rFonts w:hint="eastAsia" w:ascii="仿宋_GB2312" w:eastAsia="仿宋_GB2312"/>
          <w:kern w:val="0"/>
          <w:sz w:val="28"/>
          <w:szCs w:val="28"/>
          <w:lang w:val="zh-CN"/>
        </w:rPr>
        <w:t>第</w:t>
      </w:r>
      <w:r>
        <w:rPr>
          <w:rFonts w:ascii="仿宋_GB2312" w:eastAsia="仿宋_GB2312"/>
          <w:kern w:val="0"/>
          <w:sz w:val="28"/>
          <w:szCs w:val="28"/>
          <w:lang w:val="zh-CN"/>
        </w:rPr>
        <w:t>2</w:t>
      </w:r>
      <w:r>
        <w:rPr>
          <w:rFonts w:hint="eastAsia" w:ascii="仿宋_GB2312" w:eastAsia="仿宋_GB2312"/>
          <w:kern w:val="0"/>
          <w:sz w:val="28"/>
          <w:szCs w:val="28"/>
          <w:lang w:val="zh-CN"/>
        </w:rPr>
        <w:t>和第</w:t>
      </w:r>
      <w:r>
        <w:rPr>
          <w:rFonts w:ascii="仿宋_GB2312" w:eastAsia="仿宋_GB2312"/>
          <w:kern w:val="0"/>
          <w:sz w:val="28"/>
          <w:szCs w:val="28"/>
          <w:lang w:val="zh-CN"/>
        </w:rPr>
        <w:t>3</w:t>
      </w:r>
      <w:r>
        <w:rPr>
          <w:rFonts w:hint="eastAsia" w:ascii="仿宋_GB2312" w:eastAsia="仿宋_GB2312"/>
          <w:kern w:val="0"/>
          <w:sz w:val="28"/>
          <w:szCs w:val="28"/>
          <w:lang w:val="zh-CN"/>
        </w:rPr>
        <w:t>完成人，邰发道作为通讯作者合作发表论文</w:t>
      </w:r>
      <w:r>
        <w:rPr>
          <w:rFonts w:ascii="仿宋_GB2312" w:eastAsia="仿宋_GB2312"/>
          <w:kern w:val="0"/>
          <w:sz w:val="28"/>
          <w:szCs w:val="28"/>
          <w:lang w:val="zh-CN"/>
        </w:rPr>
        <w:t>4</w:t>
      </w:r>
      <w:r>
        <w:rPr>
          <w:rFonts w:hint="eastAsia" w:ascii="仿宋_GB2312" w:eastAsia="仿宋_GB2312"/>
          <w:kern w:val="0"/>
          <w:sz w:val="28"/>
          <w:szCs w:val="28"/>
          <w:lang w:val="zh-CN"/>
        </w:rPr>
        <w:t>篇，张育辉作为共同合作发表论文3篇。</w:t>
      </w:r>
    </w:p>
    <w:p>
      <w:pPr>
        <w:rPr>
          <w:rFonts w:ascii="仿宋_GB2312" w:hAnsi="仿宋_GB2312" w:eastAsia="仿宋_GB2312" w:cs="仿宋_GB2312"/>
          <w:sz w:val="32"/>
          <w:szCs w:val="32"/>
        </w:rPr>
      </w:pPr>
    </w:p>
    <w:p>
      <w:pPr>
        <w:rPr>
          <w:b/>
          <w:color w:val="FF0000"/>
          <w:sz w:val="28"/>
          <w:szCs w:val="28"/>
        </w:rPr>
      </w:pP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仿宋">
    <w:altName w:val="微软雅黑"/>
    <w:panose1 w:val="02010609060101010101"/>
    <w:charset w:val="86"/>
    <w:family w:val="modern"/>
    <w:pitch w:val="default"/>
    <w:sig w:usb0="00000000" w:usb1="00000000" w:usb2="00000016" w:usb3="00000000" w:csb0="00040001" w:csb1="00000000"/>
  </w:font>
  <w:font w:name="ËÎÌå">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02FBD"/>
    <w:rsid w:val="000134A3"/>
    <w:rsid w:val="000628C9"/>
    <w:rsid w:val="000A25AF"/>
    <w:rsid w:val="000D2533"/>
    <w:rsid w:val="000D3350"/>
    <w:rsid w:val="00140899"/>
    <w:rsid w:val="00154D28"/>
    <w:rsid w:val="001723A2"/>
    <w:rsid w:val="00181B3A"/>
    <w:rsid w:val="001938A0"/>
    <w:rsid w:val="001A0175"/>
    <w:rsid w:val="001A4EA0"/>
    <w:rsid w:val="001E3B85"/>
    <w:rsid w:val="001F24D6"/>
    <w:rsid w:val="002013B4"/>
    <w:rsid w:val="00205F09"/>
    <w:rsid w:val="00214AED"/>
    <w:rsid w:val="00233B8B"/>
    <w:rsid w:val="00234DAC"/>
    <w:rsid w:val="00235A9A"/>
    <w:rsid w:val="00260D31"/>
    <w:rsid w:val="00283578"/>
    <w:rsid w:val="00292642"/>
    <w:rsid w:val="002A662C"/>
    <w:rsid w:val="002B7344"/>
    <w:rsid w:val="002D5ADD"/>
    <w:rsid w:val="002E7843"/>
    <w:rsid w:val="00301B88"/>
    <w:rsid w:val="003327B1"/>
    <w:rsid w:val="00374741"/>
    <w:rsid w:val="003822EE"/>
    <w:rsid w:val="003D6395"/>
    <w:rsid w:val="003E1973"/>
    <w:rsid w:val="003E44D9"/>
    <w:rsid w:val="0041085F"/>
    <w:rsid w:val="00410BFD"/>
    <w:rsid w:val="00445AFC"/>
    <w:rsid w:val="004843FB"/>
    <w:rsid w:val="00491D00"/>
    <w:rsid w:val="004927A4"/>
    <w:rsid w:val="004A066E"/>
    <w:rsid w:val="004A3A5D"/>
    <w:rsid w:val="004B0138"/>
    <w:rsid w:val="004B146E"/>
    <w:rsid w:val="004B7C00"/>
    <w:rsid w:val="004C0E2D"/>
    <w:rsid w:val="004F1FC1"/>
    <w:rsid w:val="00507B8C"/>
    <w:rsid w:val="00523F19"/>
    <w:rsid w:val="005278A3"/>
    <w:rsid w:val="0053154E"/>
    <w:rsid w:val="00531B4B"/>
    <w:rsid w:val="00535AF3"/>
    <w:rsid w:val="00537A43"/>
    <w:rsid w:val="00546680"/>
    <w:rsid w:val="0055234A"/>
    <w:rsid w:val="00561595"/>
    <w:rsid w:val="00573113"/>
    <w:rsid w:val="005743A1"/>
    <w:rsid w:val="00585FB0"/>
    <w:rsid w:val="00590122"/>
    <w:rsid w:val="005A1201"/>
    <w:rsid w:val="005A68C9"/>
    <w:rsid w:val="005A71EC"/>
    <w:rsid w:val="005B41C6"/>
    <w:rsid w:val="005B643E"/>
    <w:rsid w:val="005C022F"/>
    <w:rsid w:val="005E3541"/>
    <w:rsid w:val="005F0F59"/>
    <w:rsid w:val="0064019B"/>
    <w:rsid w:val="00647723"/>
    <w:rsid w:val="0067706B"/>
    <w:rsid w:val="00694C90"/>
    <w:rsid w:val="006B41EC"/>
    <w:rsid w:val="00721292"/>
    <w:rsid w:val="00721903"/>
    <w:rsid w:val="00723D2E"/>
    <w:rsid w:val="007354B8"/>
    <w:rsid w:val="00744196"/>
    <w:rsid w:val="00753EC1"/>
    <w:rsid w:val="00764B27"/>
    <w:rsid w:val="007A2B14"/>
    <w:rsid w:val="007B1660"/>
    <w:rsid w:val="007B6CF7"/>
    <w:rsid w:val="007C2DBA"/>
    <w:rsid w:val="007D6530"/>
    <w:rsid w:val="007E6A48"/>
    <w:rsid w:val="007E6E6B"/>
    <w:rsid w:val="007F50A6"/>
    <w:rsid w:val="00817105"/>
    <w:rsid w:val="00843C36"/>
    <w:rsid w:val="008640B6"/>
    <w:rsid w:val="00872E01"/>
    <w:rsid w:val="00894DAA"/>
    <w:rsid w:val="008A1F1E"/>
    <w:rsid w:val="008A382E"/>
    <w:rsid w:val="00900934"/>
    <w:rsid w:val="00922A5E"/>
    <w:rsid w:val="00926182"/>
    <w:rsid w:val="0094635B"/>
    <w:rsid w:val="009553ED"/>
    <w:rsid w:val="009569E9"/>
    <w:rsid w:val="00970809"/>
    <w:rsid w:val="00981993"/>
    <w:rsid w:val="00996643"/>
    <w:rsid w:val="00996845"/>
    <w:rsid w:val="009B0CB7"/>
    <w:rsid w:val="009B0EAB"/>
    <w:rsid w:val="009B2666"/>
    <w:rsid w:val="009B3064"/>
    <w:rsid w:val="009D7872"/>
    <w:rsid w:val="00A022F5"/>
    <w:rsid w:val="00A17EF7"/>
    <w:rsid w:val="00A4766D"/>
    <w:rsid w:val="00A5540D"/>
    <w:rsid w:val="00A57DB9"/>
    <w:rsid w:val="00A96648"/>
    <w:rsid w:val="00AC20DB"/>
    <w:rsid w:val="00AC2A77"/>
    <w:rsid w:val="00AE3082"/>
    <w:rsid w:val="00AE3920"/>
    <w:rsid w:val="00AE3D4A"/>
    <w:rsid w:val="00B06105"/>
    <w:rsid w:val="00B3008E"/>
    <w:rsid w:val="00B361E3"/>
    <w:rsid w:val="00B5397E"/>
    <w:rsid w:val="00B71F90"/>
    <w:rsid w:val="00B7505F"/>
    <w:rsid w:val="00B97156"/>
    <w:rsid w:val="00BA2397"/>
    <w:rsid w:val="00BC3A30"/>
    <w:rsid w:val="00BC551A"/>
    <w:rsid w:val="00BC6812"/>
    <w:rsid w:val="00BD606B"/>
    <w:rsid w:val="00BE4327"/>
    <w:rsid w:val="00C14A8D"/>
    <w:rsid w:val="00C2168C"/>
    <w:rsid w:val="00C31B31"/>
    <w:rsid w:val="00C37A67"/>
    <w:rsid w:val="00C60FD1"/>
    <w:rsid w:val="00C62D86"/>
    <w:rsid w:val="00C638FB"/>
    <w:rsid w:val="00C76590"/>
    <w:rsid w:val="00C82F46"/>
    <w:rsid w:val="00C87ED2"/>
    <w:rsid w:val="00CA1848"/>
    <w:rsid w:val="00CC4838"/>
    <w:rsid w:val="00CE2288"/>
    <w:rsid w:val="00D075C5"/>
    <w:rsid w:val="00D418DA"/>
    <w:rsid w:val="00D55752"/>
    <w:rsid w:val="00D80155"/>
    <w:rsid w:val="00D94745"/>
    <w:rsid w:val="00D9687D"/>
    <w:rsid w:val="00DA5AB0"/>
    <w:rsid w:val="00DE66EC"/>
    <w:rsid w:val="00DF5562"/>
    <w:rsid w:val="00E2690B"/>
    <w:rsid w:val="00E507ED"/>
    <w:rsid w:val="00E84182"/>
    <w:rsid w:val="00E8469F"/>
    <w:rsid w:val="00E97257"/>
    <w:rsid w:val="00EA44B0"/>
    <w:rsid w:val="00EB4972"/>
    <w:rsid w:val="00F10B16"/>
    <w:rsid w:val="00F15BB1"/>
    <w:rsid w:val="00F2086C"/>
    <w:rsid w:val="00F30AEE"/>
    <w:rsid w:val="00F4207C"/>
    <w:rsid w:val="00F6167A"/>
    <w:rsid w:val="00F7483E"/>
    <w:rsid w:val="00FD4F64"/>
    <w:rsid w:val="73D80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8"/>
    <w:semiHidden/>
    <w:unhideWhenUsed/>
    <w:uiPriority w:val="99"/>
    <w:pPr>
      <w:jc w:val="left"/>
    </w:pPr>
  </w:style>
  <w:style w:type="paragraph" w:styleId="3">
    <w:name w:val="Plain Text"/>
    <w:basedOn w:val="1"/>
    <w:link w:val="17"/>
    <w:uiPriority w:val="0"/>
    <w:pPr>
      <w:spacing w:line="360" w:lineRule="auto"/>
      <w:ind w:firstLine="480" w:firstLineChars="200"/>
    </w:pPr>
    <w:rPr>
      <w:rFonts w:ascii="仿宋_GB2312" w:hAnsi="Times New Roman" w:eastAsia="宋体" w:cs="Times New Roman"/>
      <w:sz w:val="24"/>
      <w:szCs w:val="24"/>
    </w:rPr>
  </w:style>
  <w:style w:type="paragraph" w:styleId="4">
    <w:name w:val="Balloon Text"/>
    <w:basedOn w:val="1"/>
    <w:link w:val="20"/>
    <w:semiHidden/>
    <w:unhideWhenUsed/>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FollowedHyperlink"/>
    <w:basedOn w:val="10"/>
    <w:semiHidden/>
    <w:unhideWhenUsed/>
    <w:uiPriority w:val="99"/>
    <w:rPr>
      <w:color w:val="800080" w:themeColor="followedHyperlink"/>
      <w:u w:val="single"/>
    </w:rPr>
  </w:style>
  <w:style w:type="character" w:styleId="12">
    <w:name w:val="Hyperlink"/>
    <w:basedOn w:val="10"/>
    <w:unhideWhenUsed/>
    <w:uiPriority w:val="99"/>
    <w:rPr>
      <w:color w:val="0000FF" w:themeColor="hyperlink"/>
      <w:u w:val="single"/>
    </w:rPr>
  </w:style>
  <w:style w:type="character" w:styleId="13">
    <w:name w:val="annotation reference"/>
    <w:basedOn w:val="10"/>
    <w:semiHidden/>
    <w:unhideWhenUsed/>
    <w:qFormat/>
    <w:uiPriority w:val="99"/>
    <w:rPr>
      <w:sz w:val="21"/>
      <w:szCs w:val="21"/>
    </w:rPr>
  </w:style>
  <w:style w:type="character" w:customStyle="1" w:styleId="14">
    <w:name w:val="页眉 Char"/>
    <w:basedOn w:val="10"/>
    <w:link w:val="6"/>
    <w:qFormat/>
    <w:uiPriority w:val="99"/>
    <w:rPr>
      <w:sz w:val="18"/>
      <w:szCs w:val="18"/>
    </w:rPr>
  </w:style>
  <w:style w:type="character" w:customStyle="1" w:styleId="15">
    <w:name w:val="页脚 Char"/>
    <w:basedOn w:val="10"/>
    <w:link w:val="5"/>
    <w:uiPriority w:val="99"/>
    <w:rPr>
      <w:sz w:val="18"/>
      <w:szCs w:val="18"/>
    </w:rPr>
  </w:style>
  <w:style w:type="paragraph" w:styleId="16">
    <w:name w:val="List Paragraph"/>
    <w:basedOn w:val="1"/>
    <w:qFormat/>
    <w:uiPriority w:val="99"/>
    <w:pPr>
      <w:ind w:firstLine="420" w:firstLineChars="200"/>
    </w:pPr>
    <w:rPr>
      <w:rFonts w:ascii="Times New Roman" w:hAnsi="Times New Roman" w:eastAsia="宋体" w:cs="Times New Roman"/>
      <w:szCs w:val="24"/>
    </w:rPr>
  </w:style>
  <w:style w:type="character" w:customStyle="1" w:styleId="17">
    <w:name w:val="纯文本 Char"/>
    <w:basedOn w:val="10"/>
    <w:link w:val="3"/>
    <w:uiPriority w:val="0"/>
    <w:rPr>
      <w:rFonts w:ascii="仿宋_GB2312" w:hAnsi="Times New Roman" w:eastAsia="宋体" w:cs="Times New Roman"/>
      <w:sz w:val="24"/>
      <w:szCs w:val="24"/>
    </w:rPr>
  </w:style>
  <w:style w:type="character" w:customStyle="1" w:styleId="18">
    <w:name w:val="批注文字 Char"/>
    <w:basedOn w:val="10"/>
    <w:link w:val="2"/>
    <w:semiHidden/>
    <w:uiPriority w:val="99"/>
  </w:style>
  <w:style w:type="character" w:customStyle="1" w:styleId="19">
    <w:name w:val="批注主题 Char"/>
    <w:basedOn w:val="18"/>
    <w:link w:val="7"/>
    <w:semiHidden/>
    <w:uiPriority w:val="99"/>
    <w:rPr>
      <w:b/>
      <w:bCs/>
    </w:rPr>
  </w:style>
  <w:style w:type="character" w:customStyle="1" w:styleId="20">
    <w:name w:val="批注框文本 Char"/>
    <w:basedOn w:val="10"/>
    <w:link w:val="4"/>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9</Pages>
  <Words>753</Words>
  <Characters>4296</Characters>
  <Lines>35</Lines>
  <Paragraphs>10</Paragraphs>
  <TotalTime>300</TotalTime>
  <ScaleCrop>false</ScaleCrop>
  <LinksUpToDate>false</LinksUpToDate>
  <CharactersWithSpaces>5039</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2014-03-04T01:52:00Z</dcterms:created>
  <dc:creator>王彩红</dc:creator>
  <cp:lastModifiedBy>包子</cp:lastModifiedBy>
  <cp:lastPrinted>2016-02-25T02:17:00Z</cp:lastPrinted>
  <dcterms:modified xsi:type="dcterms:W3CDTF">2019-06-11T06:53:13Z</dcterms:modified>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