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before="68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</w:p>
    <w:p>
      <w:pPr>
        <w:spacing w:before="68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8262A"/>
          <w:spacing w:val="-10"/>
          <w:w w:val="10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62A"/>
          <w:spacing w:val="-10"/>
          <w:w w:val="105"/>
          <w:sz w:val="36"/>
          <w:szCs w:val="36"/>
          <w:lang w:val="en-US" w:eastAsia="zh-CN"/>
        </w:rPr>
        <w:t>国家语委科研项目2023年度选题指南</w:t>
      </w:r>
    </w:p>
    <w:p>
      <w:pPr>
        <w:spacing w:before="68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一、重大项目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1.语言强国的内涵、特征和实现路径研究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2.语言文字服务数字经济发展研究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3.语言文字助力共同富裕的理论建构与实践路径研究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4.教育科技人才协同发展背景下的语言人才培养研究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5.成渝双城经济圈区域语言服务研究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6.大语言模型的评测技术和方法研究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7.中华优秀语言文化多元传播研究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8.中国—东盟命运共同体构建中的语言文化交流互鉴研究</w:t>
      </w:r>
    </w:p>
    <w:p>
      <w:pPr>
        <w:spacing w:before="68"/>
        <w:ind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二、重点项目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1.国家通用语言文字教育与“五育</w:t>
      </w:r>
      <w:r>
        <w:rPr>
          <w:rFonts w:hint="eastAsia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深度融合研究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2.服务文化强国建设的汉语辞书体系构建研究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3.公共语言服务评估体系构建研究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4.统编语文教材语言学知识向语文知识转化策略研究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5.信息技术产品国家通用语言文字规范应用研究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6.汉语自然口语语料库建设及应用研究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7.大语言模型语言行为的安全与伦理研究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8.中国术语标准国际化研究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9.基于大数据的中文国际化发展趋势及推进策略研究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10.国际组织引驻中的语言规划及实践路径研究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11.区域国别学学科建设中的语言教育规划研究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12.中文国际传播服务文化软实力提升的创新路径与机制研究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13.聋人阅读能力的特点及脑机制研究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14.人机共生背景下的国民语言能力研究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15.跨文化多模态抑郁情绪语料库建设研究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16.学校教育情境下阅读障碍的评量与</w:t>
      </w:r>
      <w:r>
        <w:rPr>
          <w:rFonts w:hint="eastAsia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干</w:t>
      </w: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预研究</w:t>
      </w:r>
    </w:p>
    <w:p>
      <w:pPr>
        <w:spacing w:before="68"/>
        <w:ind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三、一般项目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1.《通用规范汉字表》应用研究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2.汉字文化圈国家语言治理的比较研究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3.领域数字化语言服务资源建设与关键技术研究（</w:t>
      </w:r>
      <w:r>
        <w:rPr>
          <w:rFonts w:hint="eastAsia" w:ascii="楷体_GB2312" w:hAnsi="楷体_GB2312" w:eastAsia="楷体_GB2312" w:cs="楷体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分领域申报，请在申请书正文提出要研究的领域，项目名称不用修改</w:t>
      </w: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）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4.本科层次职业院校语言教育规划研究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5.中国语言学本土术语多语种知识库建设研究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6.语言服务人才培养产教融合研究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7.自然灾害易发地区语言状况调查及应急语言服务对策研究（西南地区）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8.领域语言文字规范标准建设新需求研究（</w:t>
      </w:r>
      <w:r>
        <w:rPr>
          <w:rFonts w:hint="eastAsia" w:ascii="楷体_GB2312" w:hAnsi="楷体_GB2312" w:eastAsia="楷体_GB2312" w:cs="楷体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分领域申报，请在申请书正文提出要研究的领域，项目名称不用修改</w:t>
      </w: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）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9.中小学规范汉字书写教育政策研究</w:t>
      </w:r>
    </w:p>
    <w:p>
      <w:pPr>
        <w:spacing w:before="68"/>
        <w:ind w:right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10.语言智库参与全球治理的现状与路径研究</w:t>
      </w:r>
    </w:p>
    <w:p>
      <w:pPr>
        <w:spacing w:before="68"/>
        <w:ind w:right="0" w:firstLine="632" w:firstLineChars="200"/>
        <w:jc w:val="left"/>
      </w:pPr>
      <w:r>
        <w:rPr>
          <w:rFonts w:hint="default" w:ascii="仿宋_GB2312" w:hAnsi="仿宋_GB2312" w:eastAsia="仿宋_GB2312" w:cs="仿宋_GB2312"/>
          <w:b w:val="0"/>
          <w:bCs w:val="0"/>
          <w:color w:val="28262A"/>
          <w:spacing w:val="-10"/>
          <w:w w:val="105"/>
          <w:sz w:val="32"/>
          <w:szCs w:val="32"/>
          <w:lang w:val="en-US" w:eastAsia="zh-CN"/>
        </w:rPr>
        <w:t>11.民航领域语言规划研究</w:t>
      </w:r>
    </w:p>
    <w:p/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110A029F"/>
    <w:rsid w:val="110A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2023-06-26T00:55:00Z</dcterms:created>
  <dc:creator>       书.</dc:creator>
  <cp:lastModifiedBy>       书.</cp:lastModifiedBy>
  <dcterms:modified xsi:type="dcterms:W3CDTF">2023-06-26T00:56:18Z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5F5E3B4D40B744ADAC8858F1CC5534EF_11</vt:lpwstr>
  </property>
</Properties>
</file>