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right="640" w:firstLine="5120" w:firstLineChars="16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right="640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288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西安</w:t>
      </w:r>
      <w:r>
        <w:rPr>
          <w:rFonts w:hint="eastAsia" w:ascii="黑体" w:hAnsi="黑体" w:eastAsia="黑体" w:cs="黑体"/>
          <w:sz w:val="36"/>
          <w:szCs w:val="36"/>
        </w:rPr>
        <w:t>廉政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研究</w:t>
      </w:r>
      <w:r>
        <w:rPr>
          <w:rFonts w:hint="eastAsia" w:ascii="黑体" w:hAnsi="黑体" w:eastAsia="黑体" w:cs="黑体"/>
          <w:sz w:val="36"/>
          <w:szCs w:val="36"/>
        </w:rPr>
        <w:t>专项项目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结项名单</w:t>
      </w:r>
    </w:p>
    <w:tbl>
      <w:tblPr>
        <w:tblStyle w:val="3"/>
        <w:tblW w:w="945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86"/>
        <w:gridCol w:w="1466"/>
        <w:gridCol w:w="1728"/>
        <w:gridCol w:w="1063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5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</w:t>
            </w:r>
          </w:p>
        </w:tc>
        <w:tc>
          <w:tcPr>
            <w:tcW w:w="29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类别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重大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重点/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委托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一般）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cs="宋体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结项结果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5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hint="default" w:ascii="宋体" w:hAnsi="宋体" w:cs="黑体"/>
                <w:sz w:val="24"/>
                <w:lang w:val="en-US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2201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西安“三河一山”廉政文化与生态文化融合高质量发展研究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历史旅游学院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刘世栋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2202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学科视野下纪检监察学概念的理论与实践创新研究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杨永庚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03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纪检监察专业（方向）建设路径研究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重点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岳  侠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04</w:t>
            </w:r>
          </w:p>
        </w:tc>
        <w:tc>
          <w:tcPr>
            <w:tcW w:w="2986" w:type="dxa"/>
            <w:vAlign w:val="center"/>
          </w:tcPr>
          <w:p>
            <w:pPr>
              <w:widowControl/>
              <w:spacing w:line="48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地方高校纪检监察学科发展研究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范雪峰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05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“两个确立”的生成逻辑与决定性意义研究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魏娟辉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06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新时代善治之道与西安乡村小微权力—“三治”监督模式研究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常利娟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2207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延安精神与党的自我革命研究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申晓玲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黑体"/>
                <w:sz w:val="24"/>
              </w:rPr>
              <w:t>LZ</w:t>
            </w:r>
            <w:r>
              <w:rPr>
                <w:rFonts w:hint="eastAsia" w:ascii="宋体" w:hAnsi="宋体" w:cs="黑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黑体"/>
                <w:sz w:val="24"/>
              </w:rPr>
              <w:t>08</w:t>
            </w:r>
          </w:p>
        </w:tc>
        <w:tc>
          <w:tcPr>
            <w:tcW w:w="2986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政府审计反腐倡廉作用研究</w:t>
            </w:r>
          </w:p>
        </w:tc>
        <w:tc>
          <w:tcPr>
            <w:tcW w:w="14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</w:rPr>
              <w:t>一般</w:t>
            </w:r>
          </w:p>
        </w:tc>
        <w:tc>
          <w:tcPr>
            <w:tcW w:w="1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</w:t>
            </w:r>
          </w:p>
        </w:tc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  华</w:t>
            </w:r>
          </w:p>
        </w:tc>
        <w:tc>
          <w:tcPr>
            <w:tcW w:w="1259" w:type="dxa"/>
            <w:vAlign w:val="center"/>
          </w:tcPr>
          <w:p>
            <w:pPr>
              <w:tabs>
                <w:tab w:val="left" w:pos="2886"/>
                <w:tab w:val="center" w:pos="4213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延期结项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  <w:docVar w:name="KSO_WPS_MARK_KEY" w:val="27791f64-2e66-4dea-8c72-b5c5dcbb3b93"/>
  </w:docVars>
  <w:rsids>
    <w:rsidRoot w:val="76F94F08"/>
    <w:rsid w:val="05727668"/>
    <w:rsid w:val="0B98428B"/>
    <w:rsid w:val="0E52151F"/>
    <w:rsid w:val="12667C43"/>
    <w:rsid w:val="14592BD0"/>
    <w:rsid w:val="17690050"/>
    <w:rsid w:val="274C27F9"/>
    <w:rsid w:val="394C47E8"/>
    <w:rsid w:val="3C5F043A"/>
    <w:rsid w:val="54986F53"/>
    <w:rsid w:val="5B3D40A6"/>
    <w:rsid w:val="5BCD0EC8"/>
    <w:rsid w:val="6C951A44"/>
    <w:rsid w:val="76F94F08"/>
    <w:rsid w:val="7EA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378</Characters>
  <Lines>0</Lines>
  <Paragraphs>0</Paragraphs>
  <TotalTime>10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2022-08-10T02:30:00Z</dcterms:created>
  <dc:creator>Administrator</dc:creator>
  <cp:lastModifiedBy>       书.</cp:lastModifiedBy>
  <cp:lastPrinted>2023-02-17T07:01:00Z</cp:lastPrinted>
  <dcterms:modified xsi:type="dcterms:W3CDTF">2023-02-17T09:27:36Z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4C36DB2FF2DF4EE68A5BFFC0F73EF7E8</vt:lpwstr>
  </property>
</Properties>
</file>