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2019年战略合作重大社科专题研究课题指南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习近平新时代中国特色社会主义思想研究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西安国家中心城市建设研究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“一带一路”背景下西安文化旅游产业发展及区域联动研究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大数据产业背景下西安经济增长新动能的机制与路径研究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西安自贸区发展问题研究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西安优秀传统文化弘扬与创新研究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西安提升科技创新、文化创新、产业能力创新能力研究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西安解放70周年传统体育发展研究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新时代背景下西安市基础教育改革发展系列问题研究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加快推动媒体融合发展研究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6026"/>
    <w:multiLevelType w:val="singleLevel"/>
    <w:tmpl w:val="27CC60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6207A2"/>
    <w:rsid w:val="638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2019-04-04T02:17:00Z</dcterms:created>
  <dc:creator>蝶舞天涯</dc:creator>
  <cp:lastModifiedBy>蝶舞天涯</cp:lastModifiedBy>
  <dcterms:modified xsi:type="dcterms:W3CDTF">2019-04-04T02:40:00Z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