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60" w:lineRule="exact"/>
        <w:jc w:val="center"/>
        <w:rPr>
          <w:rFonts w:hint="eastAsia" w:ascii="方正小标宋简体" w:hAnsi="方正小标宋简体" w:eastAsia="方正小标宋简体" w:cs="方正小标宋简体"/>
          <w:b/>
          <w:bCs/>
          <w:sz w:val="32"/>
          <w:szCs w:val="32"/>
        </w:rPr>
      </w:pPr>
      <w:bookmarkStart w:id="0" w:name="_GoBack"/>
      <w:r>
        <w:rPr>
          <w:rStyle w:val="5"/>
          <w:rFonts w:hint="eastAsia" w:ascii="方正小标宋简体" w:hAnsi="方正小标宋简体" w:eastAsia="方正小标宋简体" w:cs="方正小标宋简体"/>
          <w:b w:val="0"/>
          <w:bCs w:val="0"/>
          <w:color w:val="222222"/>
          <w:spacing w:val="8"/>
          <w:sz w:val="32"/>
          <w:szCs w:val="32"/>
          <w:shd w:val="clear" w:color="auto" w:fill="FFFFFF"/>
        </w:rPr>
        <w:t>2022年文理专项-网络思政专题项目申报选题指南</w:t>
      </w:r>
      <w:bookmarkEnd w:id="0"/>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Style w:val="5"/>
          <w:rFonts w:hint="eastAsia" w:ascii="黑体" w:hAnsi="黑体" w:eastAsia="黑体" w:cs="黑体"/>
          <w:color w:val="222222"/>
          <w:spacing w:val="8"/>
          <w:sz w:val="30"/>
          <w:szCs w:val="30"/>
          <w:shd w:val="clear" w:color="auto" w:fill="FFFFFF"/>
        </w:rPr>
        <w:t>一、研究课题</w:t>
      </w:r>
    </w:p>
    <w:p>
      <w:pPr>
        <w:pStyle w:val="2"/>
        <w:widowControl/>
        <w:spacing w:before="0" w:beforeAutospacing="0" w:after="0" w:afterAutospacing="0" w:line="560" w:lineRule="exact"/>
        <w:jc w:val="both"/>
        <w:rPr>
          <w:rFonts w:hint="eastAsia" w:ascii="楷体_GB2312" w:hAnsi="楷体_GB2312" w:eastAsia="楷体_GB2312" w:cs="楷体_GB2312"/>
          <w:sz w:val="30"/>
          <w:szCs w:val="30"/>
        </w:rPr>
      </w:pPr>
      <w:r>
        <w:rPr>
          <w:rStyle w:val="5"/>
          <w:rFonts w:hint="eastAsia" w:ascii="楷体_GB2312" w:hAnsi="楷体_GB2312" w:eastAsia="楷体_GB2312" w:cs="楷体_GB2312"/>
          <w:color w:val="222222"/>
          <w:spacing w:val="8"/>
          <w:sz w:val="30"/>
          <w:szCs w:val="30"/>
          <w:shd w:val="clear" w:color="auto" w:fill="FFFFFF"/>
        </w:rPr>
        <w:t>重点选题：</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222222"/>
          <w:spacing w:val="8"/>
          <w:sz w:val="30"/>
          <w:szCs w:val="30"/>
          <w:shd w:val="clear" w:color="auto" w:fill="FFFFFF"/>
        </w:rPr>
        <w:t>1.习近平新时代中国特色社会主义思想的网络宣传教育研究</w:t>
      </w:r>
    </w:p>
    <w:p>
      <w:pPr>
        <w:pStyle w:val="2"/>
        <w:widowControl/>
        <w:spacing w:before="0" w:beforeAutospacing="0" w:after="0" w:afterAutospacing="0" w:line="560" w:lineRule="exact"/>
        <w:jc w:val="both"/>
        <w:rPr>
          <w:rFonts w:ascii="仿宋_GB2312" w:hAnsi="仿宋_GB2312" w:eastAsia="仿宋_GB2312" w:cs="仿宋_GB2312"/>
          <w:color w:val="222222"/>
          <w:spacing w:val="8"/>
          <w:sz w:val="30"/>
          <w:szCs w:val="30"/>
          <w:shd w:val="clear" w:color="auto" w:fill="FFFFFF"/>
        </w:rPr>
      </w:pPr>
      <w:r>
        <w:rPr>
          <w:rFonts w:hint="eastAsia" w:ascii="仿宋_GB2312" w:hAnsi="仿宋_GB2312" w:eastAsia="仿宋_GB2312" w:cs="仿宋_GB2312"/>
          <w:color w:val="222222"/>
          <w:spacing w:val="8"/>
          <w:sz w:val="30"/>
          <w:szCs w:val="30"/>
          <w:shd w:val="clear" w:color="auto" w:fill="FFFFFF"/>
        </w:rPr>
        <w:t>2.迎接、学习、宣传党的二十大网络路径方法研究</w:t>
      </w:r>
    </w:p>
    <w:p>
      <w:pPr>
        <w:pStyle w:val="2"/>
        <w:widowControl/>
        <w:spacing w:before="0" w:beforeAutospacing="0" w:after="0" w:afterAutospacing="0" w:line="560" w:lineRule="exact"/>
        <w:jc w:val="both"/>
        <w:rPr>
          <w:rFonts w:ascii="仿宋_GB2312" w:hAnsi="仿宋_GB2312" w:eastAsia="仿宋_GB2312" w:cs="仿宋_GB2312"/>
          <w:color w:val="222222"/>
          <w:spacing w:val="8"/>
          <w:sz w:val="30"/>
          <w:szCs w:val="30"/>
          <w:shd w:val="clear" w:color="auto" w:fill="FFFFFF"/>
        </w:rPr>
      </w:pPr>
      <w:r>
        <w:rPr>
          <w:rFonts w:hint="eastAsia" w:ascii="仿宋_GB2312" w:hAnsi="仿宋_GB2312" w:eastAsia="仿宋_GB2312" w:cs="仿宋_GB2312"/>
          <w:color w:val="222222"/>
          <w:spacing w:val="8"/>
          <w:sz w:val="30"/>
          <w:szCs w:val="30"/>
          <w:shd w:val="clear" w:color="auto" w:fill="FFFFFF"/>
        </w:rPr>
        <w:t>3</w:t>
      </w:r>
      <w:r>
        <w:rPr>
          <w:rFonts w:ascii="仿宋_GB2312" w:hAnsi="仿宋_GB2312" w:eastAsia="仿宋_GB2312" w:cs="仿宋_GB2312"/>
          <w:color w:val="222222"/>
          <w:spacing w:val="8"/>
          <w:sz w:val="30"/>
          <w:szCs w:val="30"/>
          <w:shd w:val="clear" w:color="auto" w:fill="FFFFFF"/>
        </w:rPr>
        <w:t>.</w:t>
      </w:r>
      <w:r>
        <w:rPr>
          <w:rFonts w:hint="eastAsia" w:ascii="仿宋_GB2312" w:hAnsi="仿宋_GB2312" w:eastAsia="仿宋_GB2312" w:cs="仿宋_GB2312"/>
          <w:color w:val="222222"/>
          <w:spacing w:val="8"/>
          <w:sz w:val="30"/>
          <w:szCs w:val="30"/>
          <w:shd w:val="clear" w:color="auto" w:fill="FFFFFF"/>
        </w:rPr>
        <w:t>宣传党的二十大主题宣传教育优质网络文化作品</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222222"/>
          <w:spacing w:val="8"/>
          <w:sz w:val="30"/>
          <w:szCs w:val="30"/>
          <w:shd w:val="clear" w:color="auto" w:fill="FFFFFF"/>
        </w:rPr>
        <w:t>4</w:t>
      </w:r>
      <w:r>
        <w:rPr>
          <w:rFonts w:ascii="仿宋_GB2312" w:hAnsi="仿宋_GB2312" w:eastAsia="仿宋_GB2312" w:cs="仿宋_GB2312"/>
          <w:color w:val="222222"/>
          <w:spacing w:val="8"/>
          <w:sz w:val="30"/>
          <w:szCs w:val="30"/>
          <w:shd w:val="clear" w:color="auto" w:fill="FFFFFF"/>
        </w:rPr>
        <w:t>.</w:t>
      </w:r>
      <w:r>
        <w:rPr>
          <w:rFonts w:hint="eastAsia" w:ascii="仿宋_GB2312" w:hAnsi="仿宋_GB2312" w:eastAsia="仿宋_GB2312" w:cs="仿宋_GB2312"/>
          <w:color w:val="222222"/>
          <w:spacing w:val="8"/>
          <w:sz w:val="30"/>
          <w:szCs w:val="30"/>
          <w:shd w:val="clear" w:color="auto" w:fill="FFFFFF"/>
        </w:rPr>
        <w:t>新时代大学生红色基因传承与高校网络思想政治教育优质网络文化作品</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5</w:t>
      </w:r>
      <w:r>
        <w:rPr>
          <w:rFonts w:hint="eastAsia" w:ascii="仿宋_GB2312" w:hAnsi="仿宋_GB2312" w:eastAsia="仿宋_GB2312" w:cs="仿宋_GB2312"/>
          <w:color w:val="222222"/>
          <w:spacing w:val="8"/>
          <w:sz w:val="30"/>
          <w:szCs w:val="30"/>
          <w:shd w:val="clear" w:color="auto" w:fill="FFFFFF"/>
        </w:rPr>
        <w:t>.全国性网络思想政治教育阵地的影响力和辐射度提升研究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6</w:t>
      </w:r>
      <w:r>
        <w:rPr>
          <w:rFonts w:hint="eastAsia" w:ascii="仿宋_GB2312" w:hAnsi="仿宋_GB2312" w:eastAsia="仿宋_GB2312" w:cs="仿宋_GB2312"/>
          <w:color w:val="222222"/>
          <w:spacing w:val="8"/>
          <w:sz w:val="30"/>
          <w:szCs w:val="30"/>
          <w:shd w:val="clear" w:color="auto" w:fill="FFFFFF"/>
        </w:rPr>
        <w:t>.优秀网络文化成果评价结果的推广运用机制研究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7</w:t>
      </w:r>
      <w:r>
        <w:rPr>
          <w:rFonts w:hint="eastAsia" w:ascii="仿宋_GB2312" w:hAnsi="仿宋_GB2312" w:eastAsia="仿宋_GB2312" w:cs="仿宋_GB2312"/>
          <w:color w:val="222222"/>
          <w:spacing w:val="8"/>
          <w:sz w:val="30"/>
          <w:szCs w:val="30"/>
          <w:shd w:val="clear" w:color="auto" w:fill="FFFFFF"/>
        </w:rPr>
        <w:t>.高校思政类微信公众号的建设现状与发展策略研究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8</w:t>
      </w:r>
      <w:r>
        <w:rPr>
          <w:rFonts w:hint="eastAsia" w:ascii="仿宋_GB2312" w:hAnsi="仿宋_GB2312" w:eastAsia="仿宋_GB2312" w:cs="仿宋_GB2312"/>
          <w:color w:val="222222"/>
          <w:spacing w:val="8"/>
          <w:sz w:val="30"/>
          <w:szCs w:val="30"/>
          <w:shd w:val="clear" w:color="auto" w:fill="FFFFFF"/>
        </w:rPr>
        <w:t>.重大疫情防控中高校网络舆情治理策略研究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9</w:t>
      </w:r>
      <w:r>
        <w:rPr>
          <w:rFonts w:hint="eastAsia" w:ascii="仿宋_GB2312" w:hAnsi="仿宋_GB2312" w:eastAsia="仿宋_GB2312" w:cs="仿宋_GB2312"/>
          <w:color w:val="222222"/>
          <w:spacing w:val="8"/>
          <w:sz w:val="30"/>
          <w:szCs w:val="30"/>
          <w:shd w:val="clear" w:color="auto" w:fill="FFFFFF"/>
        </w:rPr>
        <w:t>.基于校园社交网络传播场域的思想政治教育策略研究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10</w:t>
      </w:r>
      <w:r>
        <w:rPr>
          <w:rFonts w:hint="eastAsia" w:ascii="仿宋_GB2312" w:hAnsi="仿宋_GB2312" w:eastAsia="仿宋_GB2312" w:cs="仿宋_GB2312"/>
          <w:color w:val="222222"/>
          <w:spacing w:val="8"/>
          <w:sz w:val="30"/>
          <w:szCs w:val="30"/>
          <w:shd w:val="clear" w:color="auto" w:fill="FFFFFF"/>
        </w:rPr>
        <w:t>.大学生网络社交圈层化特点与引导策略研究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11</w:t>
      </w:r>
      <w:r>
        <w:rPr>
          <w:rFonts w:hint="eastAsia" w:ascii="仿宋_GB2312" w:hAnsi="仿宋_GB2312" w:eastAsia="仿宋_GB2312" w:cs="仿宋_GB2312"/>
          <w:color w:val="222222"/>
          <w:spacing w:val="8"/>
          <w:sz w:val="30"/>
          <w:szCs w:val="30"/>
          <w:shd w:val="clear" w:color="auto" w:fill="FFFFFF"/>
        </w:rPr>
        <w:t>.高校网络心理健康教育的路径创新研究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12</w:t>
      </w:r>
      <w:r>
        <w:rPr>
          <w:rFonts w:hint="eastAsia" w:ascii="仿宋_GB2312" w:hAnsi="仿宋_GB2312" w:eastAsia="仿宋_GB2312" w:cs="仿宋_GB2312"/>
          <w:color w:val="222222"/>
          <w:spacing w:val="8"/>
          <w:sz w:val="30"/>
          <w:szCs w:val="30"/>
          <w:shd w:val="clear" w:color="auto" w:fill="FFFFFF"/>
        </w:rPr>
        <w:t>.高校思想政治教育精准信息推送技术应用研究</w:t>
      </w:r>
    </w:p>
    <w:p>
      <w:pPr>
        <w:pStyle w:val="2"/>
        <w:widowControl/>
        <w:spacing w:before="0" w:beforeAutospacing="0" w:after="0" w:afterAutospacing="0" w:line="560" w:lineRule="exact"/>
        <w:jc w:val="both"/>
        <w:rPr>
          <w:rStyle w:val="5"/>
          <w:rFonts w:hint="eastAsia" w:ascii="楷体_GB2312" w:hAnsi="楷体_GB2312" w:eastAsia="楷体_GB2312" w:cs="楷体_GB2312"/>
          <w:color w:val="222222"/>
          <w:spacing w:val="8"/>
          <w:sz w:val="30"/>
          <w:szCs w:val="30"/>
          <w:shd w:val="clear" w:color="auto" w:fill="FFFFFF"/>
        </w:rPr>
      </w:pPr>
      <w:r>
        <w:rPr>
          <w:rStyle w:val="5"/>
          <w:rFonts w:hint="eastAsia" w:ascii="楷体_GB2312" w:hAnsi="楷体_GB2312" w:eastAsia="楷体_GB2312" w:cs="楷体_GB2312"/>
          <w:color w:val="222222"/>
          <w:spacing w:val="8"/>
          <w:sz w:val="30"/>
          <w:szCs w:val="30"/>
          <w:shd w:val="clear" w:color="auto" w:fill="FFFFFF"/>
        </w:rPr>
        <w:t>一般选题：</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1</w:t>
      </w:r>
      <w:r>
        <w:rPr>
          <w:rFonts w:hint="eastAsia" w:ascii="仿宋_GB2312" w:hAnsi="仿宋_GB2312" w:eastAsia="仿宋_GB2312" w:cs="仿宋_GB2312"/>
          <w:color w:val="222222"/>
          <w:spacing w:val="8"/>
          <w:sz w:val="30"/>
          <w:szCs w:val="30"/>
          <w:shd w:val="clear" w:color="auto" w:fill="FFFFFF"/>
        </w:rPr>
        <w:t>.大学生网络素养教育内容、载体及机制研究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2</w:t>
      </w:r>
      <w:r>
        <w:rPr>
          <w:rFonts w:hint="eastAsia" w:ascii="仿宋_GB2312" w:hAnsi="仿宋_GB2312" w:eastAsia="仿宋_GB2312" w:cs="仿宋_GB2312"/>
          <w:color w:val="222222"/>
          <w:spacing w:val="8"/>
          <w:sz w:val="30"/>
          <w:szCs w:val="30"/>
          <w:shd w:val="clear" w:color="auto" w:fill="FFFFFF"/>
        </w:rPr>
        <w:t>.移动互联网时代高校网络安全教育有效策略研究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3</w:t>
      </w:r>
      <w:r>
        <w:rPr>
          <w:rFonts w:hint="eastAsia" w:ascii="仿宋_GB2312" w:hAnsi="仿宋_GB2312" w:eastAsia="仿宋_GB2312" w:cs="仿宋_GB2312"/>
          <w:color w:val="222222"/>
          <w:spacing w:val="8"/>
          <w:sz w:val="30"/>
          <w:szCs w:val="30"/>
          <w:shd w:val="clear" w:color="auto" w:fill="FFFFFF"/>
        </w:rPr>
        <w:t>.大学生网络社群认同及交际机制研究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4</w:t>
      </w:r>
      <w:r>
        <w:rPr>
          <w:rFonts w:hint="eastAsia" w:ascii="仿宋_GB2312" w:hAnsi="仿宋_GB2312" w:eastAsia="仿宋_GB2312" w:cs="仿宋_GB2312"/>
          <w:color w:val="222222"/>
          <w:spacing w:val="8"/>
          <w:sz w:val="30"/>
          <w:szCs w:val="30"/>
          <w:shd w:val="clear" w:color="auto" w:fill="FFFFFF"/>
        </w:rPr>
        <w:t>.网络空间的青年话语引导方式研究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5</w:t>
      </w:r>
      <w:r>
        <w:rPr>
          <w:rFonts w:hint="eastAsia" w:ascii="仿宋_GB2312" w:hAnsi="仿宋_GB2312" w:eastAsia="仿宋_GB2312" w:cs="仿宋_GB2312"/>
          <w:color w:val="222222"/>
          <w:spacing w:val="8"/>
          <w:sz w:val="30"/>
          <w:szCs w:val="30"/>
          <w:shd w:val="clear" w:color="auto" w:fill="FFFFFF"/>
        </w:rPr>
        <w:t>.大数据背景下高校网络思想政治教育提升路径研究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6</w:t>
      </w:r>
      <w:r>
        <w:rPr>
          <w:rFonts w:hint="eastAsia" w:ascii="仿宋_GB2312" w:hAnsi="仿宋_GB2312" w:eastAsia="仿宋_GB2312" w:cs="仿宋_GB2312"/>
          <w:color w:val="222222"/>
          <w:spacing w:val="8"/>
          <w:sz w:val="30"/>
          <w:szCs w:val="30"/>
          <w:shd w:val="clear" w:color="auto" w:fill="FFFFFF"/>
        </w:rPr>
        <w:t>.大学生网络素养内容、载体及培育机制研究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7</w:t>
      </w:r>
      <w:r>
        <w:rPr>
          <w:rFonts w:hint="eastAsia" w:ascii="仿宋_GB2312" w:hAnsi="仿宋_GB2312" w:eastAsia="仿宋_GB2312" w:cs="仿宋_GB2312"/>
          <w:color w:val="222222"/>
          <w:spacing w:val="8"/>
          <w:sz w:val="30"/>
          <w:szCs w:val="30"/>
          <w:shd w:val="clear" w:color="auto" w:fill="FFFFFF"/>
        </w:rPr>
        <w:t>.大学生网络“亚文化”现象的教育引导研究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8</w:t>
      </w:r>
      <w:r>
        <w:rPr>
          <w:rFonts w:hint="eastAsia" w:ascii="仿宋_GB2312" w:hAnsi="仿宋_GB2312" w:eastAsia="仿宋_GB2312" w:cs="仿宋_GB2312"/>
          <w:color w:val="222222"/>
          <w:spacing w:val="8"/>
          <w:sz w:val="30"/>
          <w:szCs w:val="30"/>
          <w:shd w:val="clear" w:color="auto" w:fill="FFFFFF"/>
        </w:rPr>
        <w:t>.融媒体创新大学生网络思想政治教育路径研究或优质网络文化作品</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ascii="仿宋_GB2312" w:hAnsi="仿宋_GB2312" w:eastAsia="仿宋_GB2312" w:cs="仿宋_GB2312"/>
          <w:color w:val="222222"/>
          <w:spacing w:val="8"/>
          <w:sz w:val="30"/>
          <w:szCs w:val="30"/>
          <w:shd w:val="clear" w:color="auto" w:fill="FFFFFF"/>
        </w:rPr>
        <w:t>9</w:t>
      </w:r>
      <w:r>
        <w:rPr>
          <w:rFonts w:hint="eastAsia" w:ascii="仿宋_GB2312" w:hAnsi="仿宋_GB2312" w:eastAsia="仿宋_GB2312" w:cs="仿宋_GB2312"/>
          <w:color w:val="222222"/>
          <w:spacing w:val="8"/>
          <w:sz w:val="30"/>
          <w:szCs w:val="30"/>
          <w:shd w:val="clear" w:color="auto" w:fill="FFFFFF"/>
        </w:rPr>
        <w:t>.大学生网络素养内容、载体及培育机制研究</w:t>
      </w:r>
    </w:p>
    <w:p>
      <w:pPr>
        <w:pStyle w:val="2"/>
        <w:widowControl/>
        <w:spacing w:before="0" w:beforeAutospacing="0" w:after="0" w:afterAutospacing="0" w:line="560" w:lineRule="exact"/>
        <w:jc w:val="both"/>
        <w:rPr>
          <w:rFonts w:ascii="仿宋_GB2312" w:hAnsi="仿宋_GB2312" w:eastAsia="仿宋_GB2312" w:cs="仿宋_GB2312"/>
          <w:color w:val="222222"/>
          <w:spacing w:val="8"/>
          <w:sz w:val="30"/>
          <w:szCs w:val="30"/>
          <w:shd w:val="clear" w:color="auto" w:fill="FFFFFF"/>
        </w:rPr>
      </w:pPr>
      <w:r>
        <w:rPr>
          <w:rFonts w:ascii="仿宋_GB2312" w:hAnsi="仿宋_GB2312" w:eastAsia="仿宋_GB2312" w:cs="仿宋_GB2312"/>
          <w:color w:val="222222"/>
          <w:spacing w:val="8"/>
          <w:sz w:val="30"/>
          <w:szCs w:val="30"/>
          <w:shd w:val="clear" w:color="auto" w:fill="FFFFFF"/>
        </w:rPr>
        <w:t>10</w:t>
      </w:r>
      <w:r>
        <w:rPr>
          <w:rFonts w:hint="eastAsia" w:ascii="仿宋_GB2312" w:hAnsi="仿宋_GB2312" w:eastAsia="仿宋_GB2312" w:cs="仿宋_GB2312"/>
          <w:color w:val="222222"/>
          <w:spacing w:val="8"/>
          <w:sz w:val="30"/>
          <w:szCs w:val="30"/>
          <w:shd w:val="clear" w:color="auto" w:fill="FFFFFF"/>
        </w:rPr>
        <w:t>.用户驱动下高校辅导员网络思政平台创新路径研究</w:t>
      </w:r>
    </w:p>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222222"/>
          <w:spacing w:val="8"/>
          <w:sz w:val="30"/>
          <w:szCs w:val="30"/>
          <w:shd w:val="clear" w:color="auto" w:fill="FFFFFF"/>
        </w:rPr>
        <w:t>1</w:t>
      </w:r>
      <w:r>
        <w:rPr>
          <w:rFonts w:ascii="仿宋_GB2312" w:hAnsi="仿宋_GB2312" w:eastAsia="仿宋_GB2312" w:cs="仿宋_GB2312"/>
          <w:color w:val="222222"/>
          <w:spacing w:val="8"/>
          <w:sz w:val="30"/>
          <w:szCs w:val="30"/>
          <w:shd w:val="clear" w:color="auto" w:fill="FFFFFF"/>
        </w:rPr>
        <w:t>1.</w:t>
      </w:r>
      <w:r>
        <w:rPr>
          <w:rFonts w:hint="eastAsia" w:ascii="仿宋_GB2312" w:hAnsi="仿宋_GB2312" w:eastAsia="仿宋_GB2312" w:cs="仿宋_GB2312"/>
          <w:color w:val="222222"/>
          <w:spacing w:val="8"/>
          <w:sz w:val="30"/>
          <w:szCs w:val="30"/>
          <w:shd w:val="clear" w:color="auto" w:fill="FFFFFF"/>
        </w:rPr>
        <w:t>校园网络评论员队伍建设实践研究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dmYmUyMTk4MjJlN2NhMGFlOWVmYTYzNTMzZjgifQ=="/>
  </w:docVars>
  <w:rsids>
    <w:rsidRoot w:val="69DA11E6"/>
    <w:rsid w:val="3C790143"/>
    <w:rsid w:val="69DA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2022-09-21T03:04:00Z</dcterms:created>
  <dc:creator>李广文</dc:creator>
  <cp:lastModifiedBy>李广文</cp:lastModifiedBy>
  <dcterms:modified xsi:type="dcterms:W3CDTF">2022-09-21T03:06:01Z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695D92F6A96C4FC9B6503EF79BD91E76</vt:lpwstr>
  </property>
</Properties>
</file>